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黑体"/>
          <w:sz w:val="32"/>
          <w:szCs w:val="32"/>
        </w:rPr>
      </w:pPr>
      <w:r>
        <w:rPr>
          <w:rFonts w:hint="eastAsia" w:ascii="黑体" w:hAnsi="黑体" w:eastAsia="黑体" w:cs="黑体"/>
          <w:sz w:val="32"/>
          <w:szCs w:val="32"/>
        </w:rPr>
        <w:t>附件1</w:t>
      </w:r>
    </w:p>
    <w:p>
      <w:pPr>
        <w:spacing w:before="156" w:beforeLines="50" w:after="156" w:afterLines="50"/>
        <w:jc w:val="center"/>
        <w:rPr>
          <w:rFonts w:ascii="黑体" w:hAnsi="黑体" w:eastAsia="黑体" w:cs="黑体"/>
          <w:sz w:val="32"/>
          <w:szCs w:val="32"/>
        </w:rPr>
      </w:pPr>
      <w:r>
        <w:rPr>
          <w:rFonts w:hint="eastAsia" w:ascii="黑体" w:hAnsi="黑体" w:eastAsia="黑体" w:cs="黑体"/>
          <w:sz w:val="36"/>
          <w:szCs w:val="36"/>
          <w:lang w:val="en-US" w:eastAsia="zh-CN"/>
        </w:rPr>
        <w:t>10</w:t>
      </w:r>
      <w:r>
        <w:rPr>
          <w:rFonts w:hint="eastAsia" w:ascii="黑体" w:hAnsi="黑体" w:eastAsia="黑体" w:cs="黑体"/>
          <w:sz w:val="36"/>
          <w:szCs w:val="36"/>
        </w:rPr>
        <w:t>项行</w:t>
      </w:r>
      <w:bookmarkStart w:id="2" w:name="_GoBack"/>
      <w:bookmarkEnd w:id="2"/>
      <w:r>
        <w:rPr>
          <w:rFonts w:hint="eastAsia" w:ascii="黑体" w:hAnsi="黑体" w:eastAsia="黑体" w:cs="黑体"/>
          <w:sz w:val="36"/>
          <w:szCs w:val="36"/>
        </w:rPr>
        <w:t>业标准外文版计划申请汇总表</w:t>
      </w:r>
    </w:p>
    <w:tbl>
      <w:tblPr>
        <w:tblStyle w:val="11"/>
        <w:tblW w:w="14558" w:type="dxa"/>
        <w:jc w:val="center"/>
        <w:tblInd w:w="0" w:type="dxa"/>
        <w:tblLayout w:type="fixed"/>
        <w:tblCellMar>
          <w:top w:w="0" w:type="dxa"/>
          <w:left w:w="108" w:type="dxa"/>
          <w:bottom w:w="0" w:type="dxa"/>
          <w:right w:w="108" w:type="dxa"/>
        </w:tblCellMar>
      </w:tblPr>
      <w:tblGrid>
        <w:gridCol w:w="447"/>
        <w:gridCol w:w="1194"/>
        <w:gridCol w:w="1504"/>
        <w:gridCol w:w="652"/>
        <w:gridCol w:w="677"/>
        <w:gridCol w:w="870"/>
        <w:gridCol w:w="1511"/>
        <w:gridCol w:w="1420"/>
        <w:gridCol w:w="6283"/>
      </w:tblGrid>
      <w:tr>
        <w:tblPrEx>
          <w:tblLayout w:type="fixed"/>
          <w:tblCellMar>
            <w:top w:w="0" w:type="dxa"/>
            <w:left w:w="108" w:type="dxa"/>
            <w:bottom w:w="0" w:type="dxa"/>
            <w:right w:w="108" w:type="dxa"/>
          </w:tblCellMar>
        </w:tblPrEx>
        <w:trPr>
          <w:trHeight w:val="720" w:hRule="atLeast"/>
          <w:tblHeader/>
          <w:jc w:val="center"/>
        </w:trPr>
        <w:tc>
          <w:tcPr>
            <w:tcW w:w="44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rPr>
              <w:t>序号</w:t>
            </w:r>
          </w:p>
        </w:tc>
        <w:tc>
          <w:tcPr>
            <w:tcW w:w="119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rPr>
              <w:t>标准名称</w:t>
            </w:r>
          </w:p>
          <w:p>
            <w:pPr>
              <w:jc w:val="center"/>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rPr>
              <w:t>（中文）</w:t>
            </w:r>
          </w:p>
        </w:tc>
        <w:tc>
          <w:tcPr>
            <w:tcW w:w="150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rPr>
              <w:t>标准名称</w:t>
            </w:r>
          </w:p>
          <w:p>
            <w:pPr>
              <w:jc w:val="center"/>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rPr>
              <w:t>（外文）</w:t>
            </w:r>
          </w:p>
        </w:tc>
        <w:tc>
          <w:tcPr>
            <w:tcW w:w="65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rPr>
              <w:t>拟翻译语种</w:t>
            </w:r>
          </w:p>
        </w:tc>
        <w:tc>
          <w:tcPr>
            <w:tcW w:w="67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rPr>
              <w:t>类型</w:t>
            </w:r>
          </w:p>
        </w:tc>
        <w:tc>
          <w:tcPr>
            <w:tcW w:w="87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rPr>
              <w:t>标准号/</w:t>
            </w:r>
          </w:p>
          <w:p>
            <w:pPr>
              <w:jc w:val="center"/>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rPr>
              <w:t>计划号</w:t>
            </w:r>
          </w:p>
        </w:tc>
        <w:tc>
          <w:tcPr>
            <w:tcW w:w="151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rPr>
              <w:t>技术委员会或</w:t>
            </w:r>
          </w:p>
          <w:p>
            <w:pPr>
              <w:jc w:val="center"/>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rPr>
              <w:t>技术归口单位</w:t>
            </w:r>
          </w:p>
        </w:tc>
        <w:tc>
          <w:tcPr>
            <w:tcW w:w="142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rPr>
              <w:t>项目承担单位</w:t>
            </w:r>
          </w:p>
        </w:tc>
        <w:tc>
          <w:tcPr>
            <w:tcW w:w="628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rPr>
              <w:t>标准情况简要说明</w:t>
            </w:r>
          </w:p>
        </w:tc>
      </w:tr>
      <w:tr>
        <w:tblPrEx>
          <w:tblLayout w:type="fixed"/>
          <w:tblCellMar>
            <w:top w:w="0" w:type="dxa"/>
            <w:left w:w="108" w:type="dxa"/>
            <w:bottom w:w="0" w:type="dxa"/>
            <w:right w:w="108" w:type="dxa"/>
          </w:tblCellMar>
        </w:tblPrEx>
        <w:trPr>
          <w:trHeight w:val="285" w:hRule="atLeast"/>
          <w:jc w:val="center"/>
        </w:trPr>
        <w:tc>
          <w:tcPr>
            <w:tcW w:w="14558" w:type="dxa"/>
            <w:gridSpan w:val="9"/>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 w:val="18"/>
                <w:szCs w:val="18"/>
                <w:highlight w:val="none"/>
              </w:rPr>
            </w:pPr>
            <w:r>
              <w:rPr>
                <w:rFonts w:hint="eastAsia" w:ascii="宋体" w:hAnsi="宋体" w:cs="宋体"/>
                <w:b/>
                <w:bCs/>
                <w:color w:val="auto"/>
                <w:sz w:val="18"/>
                <w:szCs w:val="18"/>
                <w:highlight w:val="none"/>
                <w:lang w:eastAsia="zh-CN"/>
              </w:rPr>
              <w:t>钢铁</w:t>
            </w:r>
            <w:r>
              <w:rPr>
                <w:rFonts w:hint="eastAsia" w:ascii="宋体" w:hAnsi="宋体" w:eastAsia="宋体" w:cs="宋体"/>
                <w:b/>
                <w:bCs/>
                <w:color w:val="auto"/>
                <w:sz w:val="18"/>
                <w:szCs w:val="18"/>
                <w:highlight w:val="none"/>
              </w:rPr>
              <w:t>行业</w:t>
            </w:r>
          </w:p>
        </w:tc>
      </w:tr>
      <w:tr>
        <w:tblPrEx>
          <w:tblLayout w:type="fixed"/>
          <w:tblCellMar>
            <w:top w:w="0" w:type="dxa"/>
            <w:left w:w="108" w:type="dxa"/>
            <w:bottom w:w="0" w:type="dxa"/>
            <w:right w:w="108" w:type="dxa"/>
          </w:tblCellMar>
        </w:tblPrEx>
        <w:trPr>
          <w:trHeight w:val="285" w:hRule="atLeast"/>
          <w:jc w:val="center"/>
        </w:trPr>
        <w:tc>
          <w:tcPr>
            <w:tcW w:w="447" w:type="dxa"/>
            <w:tcBorders>
              <w:top w:val="single" w:color="000000" w:sz="4" w:space="0"/>
              <w:left w:val="single" w:color="000000" w:sz="4" w:space="0"/>
              <w:bottom w:val="single" w:color="000000" w:sz="4" w:space="0"/>
              <w:right w:val="single" w:color="000000" w:sz="4" w:space="0"/>
            </w:tcBorders>
            <w:vAlign w:val="top"/>
          </w:tcPr>
          <w:p>
            <w:pPr>
              <w:numPr>
                <w:ilvl w:val="0"/>
                <w:numId w:val="1"/>
              </w:numPr>
              <w:jc w:val="left"/>
              <w:rPr>
                <w:rFonts w:hint="eastAsia" w:ascii="宋体" w:hAnsi="宋体" w:eastAsia="宋体" w:cs="宋体"/>
                <w:color w:val="auto"/>
                <w:sz w:val="18"/>
                <w:szCs w:val="18"/>
                <w:highlight w:val="none"/>
              </w:rPr>
            </w:pP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default" w:ascii="宋体" w:hAnsi="宋体"/>
                <w:sz w:val="18"/>
                <w:szCs w:val="18"/>
                <w:lang w:val="en-US" w:eastAsia="zh-CN"/>
              </w:rPr>
              <w:t>钢管、钢棒自动超声检测系统综合性能测试方法</w:t>
            </w:r>
          </w:p>
        </w:tc>
        <w:tc>
          <w:tcPr>
            <w:tcW w:w="150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bookmarkStart w:id="0" w:name="OLE_LINK10"/>
            <w:bookmarkStart w:id="1" w:name="OLE_LINK9"/>
            <w:r>
              <w:rPr>
                <w:rFonts w:hint="default" w:ascii="宋体" w:hAnsi="宋体"/>
                <w:sz w:val="18"/>
                <w:szCs w:val="18"/>
                <w:lang w:val="en-US" w:eastAsia="zh-CN"/>
              </w:rPr>
              <w:t xml:space="preserve">Measurement method of comprehensive properties for automatic ultrasonic </w:t>
            </w:r>
            <w:r>
              <w:rPr>
                <w:rFonts w:hint="eastAsia" w:ascii="宋体" w:hAnsi="宋体"/>
                <w:sz w:val="18"/>
                <w:szCs w:val="18"/>
                <w:lang w:val="en-US" w:eastAsia="zh-CN"/>
              </w:rPr>
              <w:t>testing</w:t>
            </w:r>
            <w:r>
              <w:rPr>
                <w:rFonts w:hint="default" w:ascii="宋体" w:hAnsi="宋体"/>
                <w:sz w:val="18"/>
                <w:szCs w:val="18"/>
                <w:lang w:val="en-US" w:eastAsia="zh-CN"/>
              </w:rPr>
              <w:t xml:space="preserve"> systems for </w:t>
            </w:r>
            <w:r>
              <w:rPr>
                <w:rFonts w:hint="eastAsia" w:ascii="宋体" w:hAnsi="宋体"/>
                <w:sz w:val="18"/>
                <w:szCs w:val="18"/>
                <w:lang w:val="en-US" w:eastAsia="zh-CN"/>
              </w:rPr>
              <w:t>steel tubes and bar</w:t>
            </w:r>
            <w:r>
              <w:rPr>
                <w:rFonts w:hint="default" w:ascii="宋体" w:hAnsi="宋体"/>
                <w:sz w:val="18"/>
                <w:szCs w:val="18"/>
                <w:lang w:val="en-US" w:eastAsia="zh-CN"/>
              </w:rPr>
              <w:t>s</w:t>
            </w:r>
            <w:bookmarkEnd w:id="0"/>
            <w:bookmarkEnd w:id="1"/>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default" w:ascii="宋体" w:hAnsi="宋体"/>
                <w:sz w:val="18"/>
                <w:szCs w:val="18"/>
                <w:lang w:val="en-US" w:eastAsia="zh-CN"/>
              </w:rPr>
              <w:t>英语</w:t>
            </w:r>
          </w:p>
        </w:tc>
        <w:tc>
          <w:tcPr>
            <w:tcW w:w="677"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default" w:ascii="宋体" w:hAnsi="宋体"/>
                <w:sz w:val="18"/>
                <w:szCs w:val="18"/>
                <w:lang w:val="en-US" w:eastAsia="zh-CN"/>
              </w:rPr>
              <w:t>中文/外文标准同步研制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default" w:ascii="宋体" w:hAnsi="宋体"/>
                <w:sz w:val="18"/>
                <w:szCs w:val="18"/>
                <w:lang w:val="en-US" w:eastAsia="zh-CN"/>
              </w:rPr>
              <w:t>2017-0105T-YB</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default" w:ascii="宋体" w:hAnsi="宋体"/>
                <w:sz w:val="18"/>
                <w:szCs w:val="18"/>
                <w:lang w:val="en-US" w:eastAsia="zh-CN"/>
              </w:rPr>
              <w:t>全国钢标准化技术委员会</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default" w:ascii="宋体" w:hAnsi="宋体"/>
                <w:sz w:val="18"/>
                <w:szCs w:val="18"/>
                <w:lang w:val="en-US" w:eastAsia="zh-CN"/>
              </w:rPr>
              <w:t>钢研纳克检测技术股份有限公司、钢铁研究总院、冶金工业信息标准研究院</w:t>
            </w:r>
          </w:p>
        </w:tc>
        <w:tc>
          <w:tcPr>
            <w:tcW w:w="6283"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eastAsia" w:ascii="宋体" w:hAnsi="宋体"/>
                <w:sz w:val="18"/>
                <w:szCs w:val="18"/>
                <w:lang w:val="en-US" w:eastAsia="zh-CN"/>
              </w:rPr>
              <w:t>1、总体情况</w:t>
            </w:r>
          </w:p>
          <w:p>
            <w:pPr>
              <w:jc w:val="left"/>
              <w:rPr>
                <w:rFonts w:hint="eastAsia" w:ascii="宋体" w:hAnsi="宋体"/>
                <w:sz w:val="18"/>
                <w:szCs w:val="18"/>
                <w:lang w:val="en-US" w:eastAsia="zh-CN"/>
              </w:rPr>
            </w:pPr>
            <w:r>
              <w:rPr>
                <w:rFonts w:hint="eastAsia" w:ascii="宋体" w:hAnsi="宋体"/>
                <w:sz w:val="18"/>
                <w:szCs w:val="18"/>
                <w:lang w:val="en-US" w:eastAsia="zh-CN"/>
              </w:rPr>
              <w:t>自从YB/T4082于1990年颁布以来，一直是钢铁行业公认的钢管进行自动化超声探伤依据的准则，包括出口产品在内的所有经超声检测的管材都要满足YB/T4082可靠性要求。经过近30年实施，YB/T4082的作用和影响巨大，对于保证和提升钢管质量发挥了重要作用。</w:t>
            </w:r>
          </w:p>
          <w:p>
            <w:pPr>
              <w:jc w:val="left"/>
              <w:rPr>
                <w:rFonts w:hint="eastAsia" w:ascii="宋体" w:hAnsi="宋体"/>
                <w:sz w:val="18"/>
                <w:szCs w:val="18"/>
                <w:lang w:val="en-US" w:eastAsia="zh-CN"/>
              </w:rPr>
            </w:pPr>
            <w:r>
              <w:rPr>
                <w:rFonts w:hint="eastAsia" w:ascii="宋体" w:hAnsi="宋体"/>
                <w:sz w:val="18"/>
                <w:szCs w:val="18"/>
                <w:lang w:val="en-US" w:eastAsia="zh-CN"/>
              </w:rPr>
              <w:t>根据国家标准化改革及其体系优化的要求，管材和棒材的自动超声探伤设备综合性能测试方法将整并至一个标准中。整合后的YB/T4082对于保证产品质量将会起更大作用，应用范围和影响力也会更大。特别对于出口的管棒材产品和进口的管棒材超声探伤设备，YB/T4082的参照引用率将更高，因此对新YB/T4082同步起草英文版本势在必行。</w:t>
            </w:r>
          </w:p>
          <w:p>
            <w:pPr>
              <w:jc w:val="left"/>
              <w:rPr>
                <w:rFonts w:hint="eastAsia" w:ascii="宋体" w:hAnsi="宋体"/>
                <w:sz w:val="18"/>
                <w:szCs w:val="18"/>
                <w:lang w:val="en-US" w:eastAsia="zh-CN"/>
              </w:rPr>
            </w:pPr>
            <w:r>
              <w:rPr>
                <w:rFonts w:hint="eastAsia" w:ascii="宋体" w:hAnsi="宋体"/>
                <w:sz w:val="18"/>
                <w:szCs w:val="18"/>
                <w:lang w:val="en-US" w:eastAsia="zh-CN"/>
              </w:rPr>
              <w:t>2、国内外情况</w:t>
            </w:r>
          </w:p>
          <w:p>
            <w:pPr>
              <w:jc w:val="left"/>
              <w:rPr>
                <w:rFonts w:hint="eastAsia" w:ascii="宋体" w:hAnsi="宋体"/>
                <w:sz w:val="18"/>
                <w:szCs w:val="18"/>
                <w:lang w:val="en-US" w:eastAsia="zh-CN"/>
              </w:rPr>
            </w:pPr>
            <w:r>
              <w:rPr>
                <w:rFonts w:hint="eastAsia" w:ascii="宋体" w:hAnsi="宋体"/>
                <w:sz w:val="18"/>
                <w:szCs w:val="18"/>
                <w:lang w:val="en-US" w:eastAsia="zh-CN"/>
              </w:rPr>
              <w:t>自从YB/T4082实施以来，不仅国产超声探伤设备严格遵照执行，也得到国际先进超声探伤设备制造商的普遍认可，YB/T4082是名副其实的我国钢管制造检验的准入门槛；高钢级钢管产品特别是出口钢管产品的自动超声检测采标YB/T4082以确保质量可靠性，已被国内钢管行业广泛认同，作用和影响巨大。基于以上情况，对新YB/T4082同步起草英文版本势在必行。</w:t>
            </w:r>
          </w:p>
          <w:p>
            <w:pPr>
              <w:jc w:val="left"/>
              <w:rPr>
                <w:rFonts w:hint="eastAsia" w:ascii="宋体" w:hAnsi="宋体"/>
                <w:sz w:val="18"/>
                <w:szCs w:val="18"/>
                <w:lang w:val="en-US" w:eastAsia="zh-CN"/>
              </w:rPr>
            </w:pPr>
            <w:r>
              <w:rPr>
                <w:rFonts w:hint="eastAsia" w:ascii="宋体" w:hAnsi="宋体"/>
                <w:sz w:val="18"/>
                <w:szCs w:val="18"/>
                <w:lang w:val="en-US" w:eastAsia="zh-CN"/>
              </w:rPr>
              <w:t>3、必要性</w:t>
            </w:r>
          </w:p>
          <w:p>
            <w:pPr>
              <w:jc w:val="left"/>
              <w:rPr>
                <w:rFonts w:hint="eastAsia" w:ascii="宋体" w:hAnsi="宋体"/>
                <w:sz w:val="18"/>
                <w:szCs w:val="18"/>
                <w:lang w:val="en-US" w:eastAsia="zh-CN"/>
              </w:rPr>
            </w:pPr>
            <w:r>
              <w:rPr>
                <w:rFonts w:hint="eastAsia" w:ascii="宋体" w:hAnsi="宋体"/>
                <w:sz w:val="18"/>
                <w:szCs w:val="18"/>
                <w:lang w:val="en-US" w:eastAsia="zh-CN"/>
              </w:rPr>
              <w:t>YB/T4082经过近30年应用，得到了国内钢管生产企业和国内外超声设备制造企业广泛认可，采标范围非常广泛。因此，将B/T4082翻译为英文版，对于规范管棒材检测以及超声设备评价方法，特别是对于出口的管棒材产品和进口的管棒材超声探伤设备是非常必要的。</w:t>
            </w:r>
          </w:p>
        </w:tc>
      </w:tr>
      <w:tr>
        <w:tblPrEx>
          <w:tblLayout w:type="fixed"/>
          <w:tblCellMar>
            <w:top w:w="0" w:type="dxa"/>
            <w:left w:w="108" w:type="dxa"/>
            <w:bottom w:w="0" w:type="dxa"/>
            <w:right w:w="108" w:type="dxa"/>
          </w:tblCellMar>
        </w:tblPrEx>
        <w:trPr>
          <w:trHeight w:val="285" w:hRule="atLeast"/>
          <w:jc w:val="center"/>
        </w:trPr>
        <w:tc>
          <w:tcPr>
            <w:tcW w:w="447" w:type="dxa"/>
            <w:tcBorders>
              <w:top w:val="single" w:color="000000" w:sz="4" w:space="0"/>
              <w:left w:val="single" w:color="000000" w:sz="4" w:space="0"/>
              <w:bottom w:val="single" w:color="000000" w:sz="4" w:space="0"/>
              <w:right w:val="single" w:color="000000" w:sz="4" w:space="0"/>
            </w:tcBorders>
            <w:vAlign w:val="top"/>
          </w:tcPr>
          <w:p>
            <w:pPr>
              <w:numPr>
                <w:ilvl w:val="0"/>
                <w:numId w:val="1"/>
              </w:numPr>
              <w:jc w:val="left"/>
              <w:rPr>
                <w:rFonts w:hint="eastAsia" w:ascii="宋体" w:hAnsi="宋体" w:eastAsia="宋体" w:cs="宋体"/>
                <w:color w:val="auto"/>
                <w:sz w:val="18"/>
                <w:szCs w:val="18"/>
                <w:highlight w:val="none"/>
              </w:rPr>
            </w:pP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default" w:ascii="宋体" w:hAnsi="宋体"/>
                <w:sz w:val="18"/>
                <w:szCs w:val="18"/>
                <w:lang w:val="en-US" w:eastAsia="zh-CN"/>
              </w:rPr>
              <w:t>钢管、钢棒自动涡流检测系统综合性能测试方法</w:t>
            </w:r>
          </w:p>
        </w:tc>
        <w:tc>
          <w:tcPr>
            <w:tcW w:w="150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eastAsia" w:ascii="宋体" w:hAnsi="宋体"/>
                <w:sz w:val="18"/>
                <w:szCs w:val="18"/>
                <w:lang w:val="en-US" w:eastAsia="zh-CN"/>
              </w:rPr>
              <w:t>Measurement method of comprehensive properties for automatic eddy-current testing systems for steel tubes and bars</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default" w:ascii="宋体" w:hAnsi="宋体"/>
                <w:sz w:val="18"/>
                <w:szCs w:val="18"/>
                <w:lang w:val="en-US" w:eastAsia="zh-CN"/>
              </w:rPr>
              <w:t>英语</w:t>
            </w:r>
          </w:p>
        </w:tc>
        <w:tc>
          <w:tcPr>
            <w:tcW w:w="677"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default" w:ascii="宋体" w:hAnsi="宋体"/>
                <w:sz w:val="18"/>
                <w:szCs w:val="18"/>
                <w:lang w:val="en-US" w:eastAsia="zh-CN"/>
              </w:rPr>
              <w:t>中文/外文标准同步研制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default" w:ascii="宋体" w:hAnsi="宋体"/>
                <w:sz w:val="18"/>
                <w:szCs w:val="18"/>
                <w:lang w:val="en-US" w:eastAsia="zh-CN"/>
              </w:rPr>
              <w:t>2017-0107T-YB</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default" w:ascii="宋体" w:hAnsi="宋体"/>
                <w:sz w:val="18"/>
                <w:szCs w:val="18"/>
                <w:lang w:val="en-US" w:eastAsia="zh-CN"/>
              </w:rPr>
              <w:t>全国钢标准化技术委员会</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default" w:ascii="宋体" w:hAnsi="宋体"/>
                <w:sz w:val="18"/>
                <w:szCs w:val="18"/>
                <w:lang w:val="en-US" w:eastAsia="zh-CN"/>
              </w:rPr>
              <w:t>钢研纳克检测技术股份有限公司、钢铁研究总院、冶金工业信息标准研究院</w:t>
            </w:r>
          </w:p>
        </w:tc>
        <w:tc>
          <w:tcPr>
            <w:tcW w:w="6283"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eastAsia" w:ascii="宋体" w:hAnsi="宋体"/>
                <w:sz w:val="18"/>
                <w:szCs w:val="18"/>
                <w:lang w:val="en-US" w:eastAsia="zh-CN"/>
              </w:rPr>
              <w:t>1、总体情况</w:t>
            </w:r>
          </w:p>
          <w:p>
            <w:pPr>
              <w:jc w:val="left"/>
              <w:rPr>
                <w:rFonts w:hint="eastAsia" w:ascii="宋体" w:hAnsi="宋体"/>
                <w:sz w:val="18"/>
                <w:szCs w:val="18"/>
                <w:lang w:val="en-US" w:eastAsia="zh-CN"/>
              </w:rPr>
            </w:pPr>
            <w:r>
              <w:rPr>
                <w:rFonts w:hint="eastAsia" w:ascii="宋体" w:hAnsi="宋体"/>
                <w:sz w:val="18"/>
                <w:szCs w:val="18"/>
                <w:lang w:val="en-US" w:eastAsia="zh-CN"/>
              </w:rPr>
              <w:t>自从YB/T4083于1990年颁布以来，一直是钢铁行业公认的钢管进行自动化涡流探伤依据的准则，包括出口产品在内的所有经涡流检测的管材都要满足YB/T4083可靠性要求。经过近30年实施，YB/T4083的作用和影响巨大，对于保证和提升钢管质量发挥了重要作用。</w:t>
            </w:r>
          </w:p>
          <w:p>
            <w:pPr>
              <w:jc w:val="left"/>
              <w:rPr>
                <w:rFonts w:hint="eastAsia" w:ascii="宋体" w:hAnsi="宋体"/>
                <w:sz w:val="18"/>
                <w:szCs w:val="18"/>
                <w:lang w:val="en-US" w:eastAsia="zh-CN"/>
              </w:rPr>
            </w:pPr>
            <w:r>
              <w:rPr>
                <w:rFonts w:hint="eastAsia" w:ascii="宋体" w:hAnsi="宋体"/>
                <w:sz w:val="18"/>
                <w:szCs w:val="18"/>
                <w:lang w:val="en-US" w:eastAsia="zh-CN"/>
              </w:rPr>
              <w:t>根据国家标准化改革及其体系优化的要求，管材和棒材的自动涡流探伤设备综合性能测试方法将整并至一个标准中。整合后的YB/T4083对于保证产品质量将会起更大作用，应用范围和影响力也会更大。特别对于出口的管棒材产品和进口的管棒材涡流探伤设备，YB/T4083的参照引用率将更高，因此对新YB/T4083同步起草英文版本势在必行。</w:t>
            </w:r>
          </w:p>
          <w:p>
            <w:pPr>
              <w:jc w:val="left"/>
              <w:rPr>
                <w:rFonts w:hint="eastAsia" w:ascii="宋体" w:hAnsi="宋体"/>
                <w:sz w:val="18"/>
                <w:szCs w:val="18"/>
                <w:lang w:val="en-US" w:eastAsia="zh-CN"/>
              </w:rPr>
            </w:pPr>
            <w:r>
              <w:rPr>
                <w:rFonts w:hint="eastAsia" w:ascii="宋体" w:hAnsi="宋体"/>
                <w:sz w:val="18"/>
                <w:szCs w:val="18"/>
                <w:lang w:val="en-US" w:eastAsia="zh-CN"/>
              </w:rPr>
              <w:t>2、国内外情况</w:t>
            </w:r>
          </w:p>
          <w:p>
            <w:pPr>
              <w:jc w:val="left"/>
              <w:rPr>
                <w:rFonts w:hint="eastAsia" w:ascii="宋体" w:hAnsi="宋体"/>
                <w:sz w:val="18"/>
                <w:szCs w:val="18"/>
                <w:lang w:val="en-US" w:eastAsia="zh-CN"/>
              </w:rPr>
            </w:pPr>
            <w:r>
              <w:rPr>
                <w:rFonts w:hint="eastAsia" w:ascii="宋体" w:hAnsi="宋体"/>
                <w:sz w:val="18"/>
                <w:szCs w:val="18"/>
                <w:lang w:val="en-US" w:eastAsia="zh-CN"/>
              </w:rPr>
              <w:t>自从YB/T4083实施以来，不仅国产涡流探伤设备严格遵照执行，也得到国际先进涡流探伤设备制造商的普遍认可，YB/T4083是名副其实的我国钢管制造检验的准入门槛；高钢级钢管产品特别是出口钢管产品的自动涡流检测采标YB/T4083以确保质量可靠性，已被国内钢管行业广泛认同，作用和影响巨大。基于以上情况，对新YB/T4083同步起草英文版本势在必行。</w:t>
            </w:r>
          </w:p>
          <w:p>
            <w:pPr>
              <w:jc w:val="left"/>
              <w:rPr>
                <w:rFonts w:hint="eastAsia" w:ascii="宋体" w:hAnsi="宋体"/>
                <w:sz w:val="18"/>
                <w:szCs w:val="18"/>
                <w:lang w:val="en-US" w:eastAsia="zh-CN"/>
              </w:rPr>
            </w:pPr>
            <w:r>
              <w:rPr>
                <w:rFonts w:hint="eastAsia" w:ascii="宋体" w:hAnsi="宋体"/>
                <w:sz w:val="18"/>
                <w:szCs w:val="18"/>
                <w:lang w:val="en-US" w:eastAsia="zh-CN"/>
              </w:rPr>
              <w:t>3、必要性</w:t>
            </w:r>
          </w:p>
          <w:p>
            <w:pPr>
              <w:jc w:val="left"/>
              <w:rPr>
                <w:rFonts w:hint="eastAsia" w:ascii="宋体" w:hAnsi="宋体"/>
                <w:sz w:val="18"/>
                <w:szCs w:val="18"/>
                <w:lang w:val="en-US" w:eastAsia="zh-CN"/>
              </w:rPr>
            </w:pPr>
            <w:r>
              <w:rPr>
                <w:rFonts w:hint="eastAsia" w:ascii="宋体" w:hAnsi="宋体"/>
                <w:sz w:val="18"/>
                <w:szCs w:val="18"/>
                <w:lang w:val="en-US" w:eastAsia="zh-CN"/>
              </w:rPr>
              <w:t>YB/T4083经过近30年应用，得到了国内钢管生产企业和国内外涡流设备制造企业广泛认可，采标范围非常广泛。因此，将B/T4083翻译为英文版，对于规范管棒材检测以及涡流设备评价方法，是非常必要的。</w:t>
            </w:r>
          </w:p>
        </w:tc>
      </w:tr>
      <w:tr>
        <w:tblPrEx>
          <w:tblLayout w:type="fixed"/>
          <w:tblCellMar>
            <w:top w:w="0" w:type="dxa"/>
            <w:left w:w="108" w:type="dxa"/>
            <w:bottom w:w="0" w:type="dxa"/>
            <w:right w:w="108" w:type="dxa"/>
          </w:tblCellMar>
        </w:tblPrEx>
        <w:trPr>
          <w:trHeight w:val="285" w:hRule="atLeast"/>
          <w:jc w:val="center"/>
        </w:trPr>
        <w:tc>
          <w:tcPr>
            <w:tcW w:w="447" w:type="dxa"/>
            <w:tcBorders>
              <w:top w:val="single" w:color="000000" w:sz="4" w:space="0"/>
              <w:left w:val="single" w:color="000000" w:sz="4" w:space="0"/>
              <w:bottom w:val="single" w:color="000000" w:sz="4" w:space="0"/>
              <w:right w:val="single" w:color="000000" w:sz="4" w:space="0"/>
            </w:tcBorders>
            <w:vAlign w:val="top"/>
          </w:tcPr>
          <w:p>
            <w:pPr>
              <w:numPr>
                <w:ilvl w:val="0"/>
                <w:numId w:val="1"/>
              </w:numPr>
              <w:jc w:val="left"/>
              <w:rPr>
                <w:rFonts w:hint="eastAsia" w:ascii="宋体" w:hAnsi="宋体" w:eastAsia="宋体" w:cs="宋体"/>
                <w:color w:val="auto"/>
                <w:sz w:val="18"/>
                <w:szCs w:val="18"/>
                <w:highlight w:val="none"/>
              </w:rPr>
            </w:pP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default" w:ascii="宋体" w:hAnsi="宋体"/>
                <w:sz w:val="18"/>
                <w:szCs w:val="18"/>
                <w:lang w:val="en-US" w:eastAsia="zh-CN"/>
              </w:rPr>
              <w:t>钢管、钢棒自动漏磁检测系统综合性能测试方法</w:t>
            </w:r>
          </w:p>
        </w:tc>
        <w:tc>
          <w:tcPr>
            <w:tcW w:w="150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eastAsia" w:ascii="宋体" w:hAnsi="宋体"/>
                <w:sz w:val="18"/>
                <w:szCs w:val="18"/>
                <w:lang w:val="en-US" w:eastAsia="zh-CN"/>
              </w:rPr>
              <w:t>Measurement method of comprehensive properties for automatic Magnetic Flux Leakage testing systems for steel tubes and bars</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default" w:ascii="宋体" w:hAnsi="宋体"/>
                <w:sz w:val="18"/>
                <w:szCs w:val="18"/>
                <w:lang w:val="en-US" w:eastAsia="zh-CN"/>
              </w:rPr>
              <w:t>英语</w:t>
            </w:r>
          </w:p>
        </w:tc>
        <w:tc>
          <w:tcPr>
            <w:tcW w:w="677"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default" w:ascii="宋体" w:hAnsi="宋体"/>
                <w:sz w:val="18"/>
                <w:szCs w:val="18"/>
                <w:lang w:val="en-US" w:eastAsia="zh-CN"/>
              </w:rPr>
              <w:t>中文/外文标准同步研制</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default" w:ascii="宋体" w:hAnsi="宋体"/>
                <w:sz w:val="18"/>
                <w:szCs w:val="18"/>
                <w:lang w:val="en-US" w:eastAsia="zh-CN"/>
              </w:rPr>
              <w:t>2017-0106T-YB</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default" w:ascii="宋体" w:hAnsi="宋体"/>
                <w:sz w:val="18"/>
                <w:szCs w:val="18"/>
                <w:lang w:val="en-US" w:eastAsia="zh-CN"/>
              </w:rPr>
              <w:t>全国钢标准化技术委员会</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default" w:ascii="宋体" w:hAnsi="宋体"/>
                <w:sz w:val="18"/>
                <w:szCs w:val="18"/>
                <w:lang w:val="en-US" w:eastAsia="zh-CN"/>
              </w:rPr>
              <w:t>钢研纳克检测技术股份有限公司、钢铁研究总院、冶金工业信息标准研究院</w:t>
            </w:r>
          </w:p>
        </w:tc>
        <w:tc>
          <w:tcPr>
            <w:tcW w:w="6283"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eastAsia" w:ascii="宋体" w:hAnsi="宋体"/>
                <w:sz w:val="18"/>
                <w:szCs w:val="18"/>
                <w:lang w:val="en-US" w:eastAsia="zh-CN"/>
              </w:rPr>
              <w:t>1、总体情况</w:t>
            </w:r>
          </w:p>
          <w:p>
            <w:pPr>
              <w:jc w:val="left"/>
              <w:rPr>
                <w:rFonts w:hint="eastAsia" w:ascii="宋体" w:hAnsi="宋体"/>
                <w:sz w:val="18"/>
                <w:szCs w:val="18"/>
                <w:lang w:val="en-US" w:eastAsia="zh-CN"/>
              </w:rPr>
            </w:pPr>
            <w:r>
              <w:rPr>
                <w:rFonts w:hint="eastAsia" w:ascii="宋体" w:hAnsi="宋体"/>
                <w:sz w:val="18"/>
                <w:szCs w:val="18"/>
                <w:lang w:val="en-US" w:eastAsia="zh-CN"/>
              </w:rPr>
              <w:t>自从YB/T4289于2012年颁布以来，一直是钢铁行业公认的钢管进行自动化漏磁探伤依据的准则，包括出口产品在内的所有经漏磁检测的管材都要满足YB/T4289可靠性要求。经过6年实施，YB/T4289的作用和影响巨大，对于保证和提升钢管质量发挥了重要作用。</w:t>
            </w:r>
          </w:p>
          <w:p>
            <w:pPr>
              <w:jc w:val="left"/>
              <w:rPr>
                <w:rFonts w:hint="eastAsia" w:ascii="宋体" w:hAnsi="宋体"/>
                <w:sz w:val="18"/>
                <w:szCs w:val="18"/>
                <w:lang w:val="en-US" w:eastAsia="zh-CN"/>
              </w:rPr>
            </w:pPr>
            <w:r>
              <w:rPr>
                <w:rFonts w:hint="eastAsia" w:ascii="宋体" w:hAnsi="宋体"/>
                <w:sz w:val="18"/>
                <w:szCs w:val="18"/>
                <w:lang w:val="en-US" w:eastAsia="zh-CN"/>
              </w:rPr>
              <w:t>根据国家标准化改革及其体系优化的要求，管材和棒材的自动漏磁探伤设备综合性能测试方法将整并至一个标准中。整合后的YB/T4289对于保证产品质量将会起更大作用，应用范围和影响力也会更大。特别对于出口的管棒材产品和进口的管棒材漏磁探伤设备，YB/T4289的参照引用率将更高，因此对新YB/T4289同步起草英文版本势在必行。</w:t>
            </w:r>
          </w:p>
          <w:p>
            <w:pPr>
              <w:jc w:val="left"/>
              <w:rPr>
                <w:rFonts w:hint="eastAsia" w:ascii="宋体" w:hAnsi="宋体"/>
                <w:sz w:val="18"/>
                <w:szCs w:val="18"/>
                <w:lang w:val="en-US" w:eastAsia="zh-CN"/>
              </w:rPr>
            </w:pPr>
            <w:r>
              <w:rPr>
                <w:rFonts w:hint="eastAsia" w:ascii="宋体" w:hAnsi="宋体"/>
                <w:sz w:val="18"/>
                <w:szCs w:val="18"/>
                <w:lang w:val="en-US" w:eastAsia="zh-CN"/>
              </w:rPr>
              <w:t>2、国内外情况</w:t>
            </w:r>
          </w:p>
          <w:p>
            <w:pPr>
              <w:jc w:val="left"/>
              <w:rPr>
                <w:rFonts w:hint="eastAsia" w:ascii="宋体" w:hAnsi="宋体"/>
                <w:sz w:val="18"/>
                <w:szCs w:val="18"/>
                <w:lang w:val="en-US" w:eastAsia="zh-CN"/>
              </w:rPr>
            </w:pPr>
            <w:r>
              <w:rPr>
                <w:rFonts w:hint="eastAsia" w:ascii="宋体" w:hAnsi="宋体"/>
                <w:sz w:val="18"/>
                <w:szCs w:val="18"/>
                <w:lang w:val="en-US" w:eastAsia="zh-CN"/>
              </w:rPr>
              <w:t>自从YB/T4289实施以来，不仅国产漏磁探伤设备严格遵照执行，也得到国际先进漏磁探伤设备制造商的普遍认可，YB/T4289是名副其实的我国钢管制造检验的准入门槛；高钢级钢管产品特别是出口钢管产品的自动漏磁检测采标YB/T4289以确保质量可靠性，已被国内钢管行业广泛认同，作用和影响巨大。基于以上情况，对新YB/T4289同步起草英文版本势在必行。</w:t>
            </w:r>
          </w:p>
          <w:p>
            <w:pPr>
              <w:jc w:val="left"/>
              <w:rPr>
                <w:rFonts w:hint="eastAsia" w:ascii="宋体" w:hAnsi="宋体"/>
                <w:sz w:val="18"/>
                <w:szCs w:val="18"/>
                <w:lang w:val="en-US" w:eastAsia="zh-CN"/>
              </w:rPr>
            </w:pPr>
            <w:r>
              <w:rPr>
                <w:rFonts w:hint="eastAsia" w:ascii="宋体" w:hAnsi="宋体"/>
                <w:sz w:val="18"/>
                <w:szCs w:val="18"/>
                <w:lang w:val="en-US" w:eastAsia="zh-CN"/>
              </w:rPr>
              <w:t>3、必要性</w:t>
            </w:r>
          </w:p>
          <w:p>
            <w:pPr>
              <w:jc w:val="left"/>
              <w:rPr>
                <w:rFonts w:hint="eastAsia" w:ascii="宋体" w:hAnsi="宋体"/>
                <w:sz w:val="18"/>
                <w:szCs w:val="18"/>
                <w:lang w:val="en-US" w:eastAsia="zh-CN"/>
              </w:rPr>
            </w:pPr>
            <w:r>
              <w:rPr>
                <w:rFonts w:hint="eastAsia" w:ascii="宋体" w:hAnsi="宋体"/>
                <w:sz w:val="18"/>
                <w:szCs w:val="18"/>
                <w:lang w:val="en-US" w:eastAsia="zh-CN"/>
              </w:rPr>
              <w:t>YB/T4289经过6年应用，得到了国内钢管生产企业和国内外漏磁设备制造企业广泛认可，采标范围非常广泛。因此，将B/T4289翻译为英文版，对于规范管棒材检测以及漏磁设备评价方法，是非常必要的。</w:t>
            </w:r>
          </w:p>
        </w:tc>
      </w:tr>
      <w:tr>
        <w:tblPrEx>
          <w:tblLayout w:type="fixed"/>
          <w:tblCellMar>
            <w:top w:w="0" w:type="dxa"/>
            <w:left w:w="108" w:type="dxa"/>
            <w:bottom w:w="0" w:type="dxa"/>
            <w:right w:w="108" w:type="dxa"/>
          </w:tblCellMar>
        </w:tblPrEx>
        <w:trPr>
          <w:trHeight w:val="285" w:hRule="atLeast"/>
          <w:jc w:val="center"/>
        </w:trPr>
        <w:tc>
          <w:tcPr>
            <w:tcW w:w="447" w:type="dxa"/>
            <w:tcBorders>
              <w:top w:val="single" w:color="000000" w:sz="4" w:space="0"/>
              <w:left w:val="single" w:color="000000" w:sz="4" w:space="0"/>
              <w:bottom w:val="single" w:color="000000" w:sz="4" w:space="0"/>
              <w:right w:val="single" w:color="000000" w:sz="4" w:space="0"/>
            </w:tcBorders>
            <w:vAlign w:val="top"/>
          </w:tcPr>
          <w:p>
            <w:pPr>
              <w:numPr>
                <w:ilvl w:val="0"/>
                <w:numId w:val="1"/>
              </w:numPr>
              <w:jc w:val="left"/>
              <w:rPr>
                <w:rFonts w:hint="eastAsia" w:ascii="宋体" w:hAnsi="宋体" w:eastAsia="宋体" w:cs="宋体"/>
                <w:color w:val="auto"/>
                <w:sz w:val="18"/>
                <w:szCs w:val="18"/>
                <w:highlight w:val="none"/>
              </w:rPr>
            </w:pP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default" w:ascii="宋体" w:hAnsi="宋体"/>
                <w:sz w:val="18"/>
                <w:szCs w:val="18"/>
                <w:lang w:val="en-US" w:eastAsia="zh-CN"/>
              </w:rPr>
              <w:t>烧结矿</w:t>
            </w:r>
            <w:r>
              <w:rPr>
                <w:rFonts w:hint="eastAsia" w:ascii="宋体" w:hAnsi="宋体"/>
                <w:sz w:val="18"/>
                <w:szCs w:val="18"/>
                <w:lang w:val="en-US" w:eastAsia="zh-CN"/>
              </w:rPr>
              <w:t xml:space="preserve"> </w:t>
            </w:r>
            <w:r>
              <w:rPr>
                <w:rFonts w:hint="default" w:ascii="宋体" w:hAnsi="宋体"/>
                <w:sz w:val="18"/>
                <w:szCs w:val="18"/>
                <w:lang w:val="en-US" w:eastAsia="zh-CN"/>
              </w:rPr>
              <w:t xml:space="preserve"> 落下强度的测定</w:t>
            </w:r>
          </w:p>
        </w:tc>
        <w:tc>
          <w:tcPr>
            <w:tcW w:w="150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eastAsia" w:ascii="宋体" w:hAnsi="宋体"/>
                <w:sz w:val="18"/>
                <w:szCs w:val="18"/>
                <w:lang w:val="en-US" w:eastAsia="zh-CN"/>
              </w:rPr>
              <w:t>Iron and sinter ores - Determination of shatter strength</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default" w:ascii="宋体" w:hAnsi="宋体"/>
                <w:sz w:val="18"/>
                <w:szCs w:val="18"/>
                <w:lang w:val="en-US" w:eastAsia="zh-CN"/>
              </w:rPr>
              <w:t>英语</w:t>
            </w:r>
          </w:p>
        </w:tc>
        <w:tc>
          <w:tcPr>
            <w:tcW w:w="677"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default" w:ascii="宋体" w:hAnsi="宋体"/>
                <w:sz w:val="18"/>
                <w:szCs w:val="18"/>
                <w:lang w:val="en-US" w:eastAsia="zh-CN"/>
              </w:rPr>
              <w:t>翻译已有标准</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default" w:ascii="宋体" w:hAnsi="宋体"/>
                <w:sz w:val="18"/>
                <w:szCs w:val="18"/>
                <w:lang w:val="en-US" w:eastAsia="zh-CN"/>
              </w:rPr>
              <w:t>YB/T 4606-2017</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default" w:ascii="宋体" w:hAnsi="宋体"/>
                <w:sz w:val="18"/>
                <w:szCs w:val="18"/>
                <w:lang w:val="en-US" w:eastAsia="zh-CN"/>
              </w:rPr>
              <w:t>全国铁矿石与直接还原铁标准化技术委员会</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default" w:ascii="宋体" w:hAnsi="宋体"/>
                <w:sz w:val="18"/>
                <w:szCs w:val="18"/>
                <w:lang w:val="en-US" w:eastAsia="zh-CN"/>
              </w:rPr>
              <w:t>宁波检验检疫科学技术研究院</w:t>
            </w:r>
          </w:p>
        </w:tc>
        <w:tc>
          <w:tcPr>
            <w:tcW w:w="6283"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eastAsia" w:ascii="宋体" w:hAnsi="宋体"/>
                <w:sz w:val="18"/>
                <w:szCs w:val="18"/>
                <w:lang w:val="en-US" w:eastAsia="zh-CN"/>
              </w:rPr>
              <w:t>1.总体情况：随着改革开放进程的加快推进，钢铁需求的增加推升铁矿石进口量逐年走高，2003年后，我国已经成为世界第一大铁矿石进口国。同时，原生块矿进口比例下降明显，粉矿占绝对优势。而粉矿入炉冶炼之前，还需经过烧结、焙烧或制球等工艺，才能用于高炉生产。落下强度是反映烧结矿冷态机械强度（抗冲击性）的一项重要指标。由于铁矿石在装卸、运输、堆存及装入高炉时会受到冲击，强度差的矿块会遭到破坏产生粉末，而粉末会降低高炉料柱的透气性和煤气利用效率，并增加高炉炉尘量及铁矿石的单位消耗，故对铁矿石的落下指数有严格要求。</w:t>
            </w:r>
          </w:p>
          <w:p>
            <w:pPr>
              <w:jc w:val="left"/>
              <w:rPr>
                <w:rFonts w:hint="eastAsia" w:ascii="宋体" w:hAnsi="宋体"/>
                <w:sz w:val="18"/>
                <w:szCs w:val="18"/>
                <w:lang w:val="en-US" w:eastAsia="zh-CN"/>
              </w:rPr>
            </w:pPr>
            <w:r>
              <w:rPr>
                <w:rFonts w:hint="eastAsia" w:ascii="宋体" w:hAnsi="宋体"/>
                <w:sz w:val="18"/>
                <w:szCs w:val="18"/>
                <w:lang w:val="en-US" w:eastAsia="zh-CN"/>
              </w:rPr>
              <w:t>2.国内外情况：目前国内还没有采用该技术检测烧结矿的标准，也无相应的ISO标准，日本和苏联有相关标准；国内有3项检测煤或焦炭的标准该技术相对稳定成熟。</w:t>
            </w:r>
          </w:p>
          <w:p>
            <w:pPr>
              <w:jc w:val="left"/>
              <w:rPr>
                <w:rFonts w:hint="eastAsia" w:ascii="宋体" w:hAnsi="宋体"/>
                <w:sz w:val="18"/>
                <w:szCs w:val="18"/>
                <w:lang w:val="en-US" w:eastAsia="zh-CN"/>
              </w:rPr>
            </w:pPr>
            <w:r>
              <w:rPr>
                <w:rFonts w:hint="eastAsia" w:ascii="宋体" w:hAnsi="宋体"/>
                <w:sz w:val="18"/>
                <w:szCs w:val="18"/>
                <w:lang w:val="en-US" w:eastAsia="zh-CN"/>
              </w:rPr>
              <w:t>必要性：落下强度直接反应炉料入炉后的存在状态，需要调整相应的生产工艺与之匹配，方能做到低能耗、高效率的生产要求。目前，不同产区、不同合同签订的指标及其测定都有所差异，本标准的制定旨在规范市场行为，统一量化指标。</w:t>
            </w:r>
          </w:p>
        </w:tc>
      </w:tr>
      <w:tr>
        <w:tblPrEx>
          <w:tblLayout w:type="fixed"/>
          <w:tblCellMar>
            <w:top w:w="0" w:type="dxa"/>
            <w:left w:w="108" w:type="dxa"/>
            <w:bottom w:w="0" w:type="dxa"/>
            <w:right w:w="108" w:type="dxa"/>
          </w:tblCellMar>
        </w:tblPrEx>
        <w:trPr>
          <w:trHeight w:val="285" w:hRule="atLeast"/>
          <w:jc w:val="center"/>
        </w:trPr>
        <w:tc>
          <w:tcPr>
            <w:tcW w:w="447" w:type="dxa"/>
            <w:tcBorders>
              <w:top w:val="single" w:color="000000" w:sz="4" w:space="0"/>
              <w:left w:val="single" w:color="000000" w:sz="4" w:space="0"/>
              <w:bottom w:val="single" w:color="000000" w:sz="4" w:space="0"/>
              <w:right w:val="single" w:color="000000" w:sz="4" w:space="0"/>
            </w:tcBorders>
            <w:vAlign w:val="top"/>
          </w:tcPr>
          <w:p>
            <w:pPr>
              <w:numPr>
                <w:ilvl w:val="0"/>
                <w:numId w:val="1"/>
              </w:numPr>
              <w:jc w:val="left"/>
              <w:rPr>
                <w:rFonts w:hint="eastAsia" w:ascii="宋体" w:hAnsi="宋体" w:eastAsia="宋体" w:cs="宋体"/>
                <w:color w:val="auto"/>
                <w:sz w:val="18"/>
                <w:szCs w:val="18"/>
                <w:highlight w:val="none"/>
              </w:rPr>
            </w:pP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default" w:ascii="宋体" w:hAnsi="宋体"/>
                <w:sz w:val="18"/>
                <w:szCs w:val="18"/>
                <w:lang w:val="en-US" w:eastAsia="zh-CN"/>
              </w:rPr>
              <w:t>铁矿石 适运水分极限的测定 插入度法</w:t>
            </w:r>
          </w:p>
        </w:tc>
        <w:tc>
          <w:tcPr>
            <w:tcW w:w="150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eastAsia" w:ascii="宋体" w:hAnsi="宋体"/>
                <w:sz w:val="18"/>
                <w:szCs w:val="18"/>
                <w:lang w:val="en-US" w:eastAsia="zh-CN"/>
              </w:rPr>
              <w:t>Iron ores - Determination of transportable moisture limit - Penetration test method</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default" w:ascii="宋体" w:hAnsi="宋体"/>
                <w:sz w:val="18"/>
                <w:szCs w:val="18"/>
                <w:lang w:val="en-US" w:eastAsia="zh-CN"/>
              </w:rPr>
              <w:t>英语</w:t>
            </w:r>
          </w:p>
        </w:tc>
        <w:tc>
          <w:tcPr>
            <w:tcW w:w="677"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default" w:ascii="宋体" w:hAnsi="宋体"/>
                <w:sz w:val="18"/>
                <w:szCs w:val="18"/>
                <w:lang w:val="en-US" w:eastAsia="zh-CN"/>
              </w:rPr>
              <w:t>翻译已有标准</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default" w:ascii="宋体" w:hAnsi="宋体"/>
                <w:sz w:val="18"/>
                <w:szCs w:val="18"/>
                <w:lang w:val="en-US" w:eastAsia="zh-CN"/>
              </w:rPr>
              <w:t>YB/T 4607-2017</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default" w:ascii="宋体" w:hAnsi="宋体"/>
                <w:sz w:val="18"/>
                <w:szCs w:val="18"/>
                <w:lang w:val="en-US" w:eastAsia="zh-CN"/>
              </w:rPr>
              <w:t>全国铁矿石与直接还原铁标准化技术委员会</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default" w:ascii="宋体" w:hAnsi="宋体"/>
                <w:sz w:val="18"/>
                <w:szCs w:val="18"/>
                <w:lang w:val="en-US" w:eastAsia="zh-CN"/>
              </w:rPr>
              <w:t>宁波检验检疫科学技术研究院</w:t>
            </w:r>
          </w:p>
        </w:tc>
        <w:tc>
          <w:tcPr>
            <w:tcW w:w="6283"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eastAsia" w:ascii="宋体" w:hAnsi="宋体"/>
                <w:sz w:val="18"/>
                <w:szCs w:val="18"/>
                <w:lang w:val="en-US" w:eastAsia="zh-CN"/>
              </w:rPr>
              <w:t>1.总体情况：近年来国内外含水矿产品运输事故仍时有发生。据不完全统计，过去10年里我国共发生各类船舶载运精选矿粉沉船事故21起，造成死亡失踪79人，造成巨大的人民生命财产损失。由于精选矿粉中的水分经过航行中的颠簸摇晃，高含水量精选矿粉表层会形成自由液面，使得固液相分离，造成船舶重心不稳，对船舶稳定性和船员生命财产安全构成严重威胁。国际海事组织在《固体散装货运安全操作法规》（BC Code）中引入了“适运水分限量”（Transportable Moisture Limit, TML）来限定散装货物可安全运输的最高含水量，并将可能发生“液化”1的散装货物归入A类危险品（流态化危害性货物）。铁矿精粉属A类危险品。《国际海上生命安全公约》（SOLAS公约）中规定A类危险品其实际含水量必须低于TML才可进行装载。适运水分极限，是指易流态化固体散装货物安全运输最大含水率，通常是流动水分点的80%～90%。目前，铁矿石TML检测标准寥寥无几，《IMSBC规则》中虽有说明，但不够细化，可操作性不强。宁波检验检疫科学技术研究院于2011年初开始流盘法、插入度法、饱和度法等不同方法在铁矿粉TML检测方面研究，并起草了《铁矿石 适运水分极限的测定 插入度法》的冶金行业标准。</w:t>
            </w:r>
          </w:p>
          <w:p>
            <w:pPr>
              <w:jc w:val="left"/>
              <w:rPr>
                <w:rFonts w:hint="eastAsia" w:ascii="宋体" w:hAnsi="宋体"/>
                <w:sz w:val="18"/>
                <w:szCs w:val="18"/>
                <w:lang w:val="en-US" w:eastAsia="zh-CN"/>
              </w:rPr>
            </w:pPr>
            <w:r>
              <w:rPr>
                <w:rFonts w:hint="eastAsia" w:ascii="宋体" w:hAnsi="宋体"/>
                <w:sz w:val="18"/>
                <w:szCs w:val="18"/>
                <w:lang w:val="en-US" w:eastAsia="zh-CN"/>
              </w:rPr>
              <w:t>2.国内外情况：目前，除了《IMSBC规则》和YB/T 4607-2017外，国内外尚未检索到采用插入度法测定铁精矿中TML的相关标准和文献。而该方法在粒度较大的（25mm以下）A组货物TML检测中必不可少。</w:t>
            </w:r>
          </w:p>
          <w:p>
            <w:pPr>
              <w:jc w:val="left"/>
              <w:rPr>
                <w:rFonts w:hint="eastAsia" w:ascii="宋体" w:hAnsi="宋体"/>
                <w:sz w:val="18"/>
                <w:szCs w:val="18"/>
                <w:lang w:val="en-US" w:eastAsia="zh-CN"/>
              </w:rPr>
            </w:pPr>
            <w:r>
              <w:rPr>
                <w:rFonts w:hint="eastAsia" w:ascii="宋体" w:hAnsi="宋体"/>
                <w:sz w:val="18"/>
                <w:szCs w:val="18"/>
                <w:lang w:val="en-US" w:eastAsia="zh-CN"/>
              </w:rPr>
              <w:t>3.必要性：每年数十亿吨的铁矿石国际贸易均是通过水路来运输，我国近两年年进口量已超过10亿吨，因此，水路运输货物安全指标的检测标准化已刻不容缓。</w:t>
            </w:r>
          </w:p>
        </w:tc>
      </w:tr>
      <w:tr>
        <w:tblPrEx>
          <w:tblLayout w:type="fixed"/>
          <w:tblCellMar>
            <w:top w:w="0" w:type="dxa"/>
            <w:left w:w="108" w:type="dxa"/>
            <w:bottom w:w="0" w:type="dxa"/>
            <w:right w:w="108" w:type="dxa"/>
          </w:tblCellMar>
        </w:tblPrEx>
        <w:trPr>
          <w:trHeight w:val="285" w:hRule="atLeast"/>
          <w:jc w:val="center"/>
        </w:trPr>
        <w:tc>
          <w:tcPr>
            <w:tcW w:w="14558" w:type="dxa"/>
            <w:gridSpan w:val="9"/>
            <w:tcBorders>
              <w:top w:val="single" w:color="000000" w:sz="4" w:space="0"/>
              <w:left w:val="single" w:color="000000" w:sz="4" w:space="0"/>
              <w:bottom w:val="single" w:color="000000" w:sz="4" w:space="0"/>
              <w:right w:val="single" w:color="000000" w:sz="4" w:space="0"/>
            </w:tcBorders>
            <w:vAlign w:val="top"/>
          </w:tcPr>
          <w:p>
            <w:pPr>
              <w:jc w:val="left"/>
              <w:rPr>
                <w:rFonts w:hint="eastAsia" w:ascii="宋体" w:hAnsi="宋体" w:eastAsia="宋体" w:cs="宋体"/>
                <w:color w:val="auto"/>
                <w:sz w:val="18"/>
                <w:szCs w:val="18"/>
                <w:highlight w:val="none"/>
              </w:rPr>
            </w:pPr>
            <w:r>
              <w:rPr>
                <w:rFonts w:hint="eastAsia" w:ascii="宋体" w:hAnsi="宋体" w:cs="宋体"/>
                <w:b/>
                <w:bCs/>
                <w:color w:val="auto"/>
                <w:sz w:val="18"/>
                <w:szCs w:val="18"/>
                <w:highlight w:val="none"/>
                <w:lang w:eastAsia="zh-CN"/>
              </w:rPr>
              <w:t>通信</w:t>
            </w:r>
            <w:r>
              <w:rPr>
                <w:rFonts w:hint="eastAsia" w:ascii="宋体" w:hAnsi="宋体" w:eastAsia="宋体" w:cs="宋体"/>
                <w:b/>
                <w:bCs/>
                <w:color w:val="auto"/>
                <w:sz w:val="18"/>
                <w:szCs w:val="18"/>
                <w:highlight w:val="none"/>
              </w:rPr>
              <w:t>行业</w:t>
            </w:r>
          </w:p>
        </w:tc>
      </w:tr>
      <w:tr>
        <w:tblPrEx>
          <w:tblLayout w:type="fixed"/>
          <w:tblCellMar>
            <w:top w:w="0" w:type="dxa"/>
            <w:left w:w="108" w:type="dxa"/>
            <w:bottom w:w="0" w:type="dxa"/>
            <w:right w:w="108" w:type="dxa"/>
          </w:tblCellMar>
        </w:tblPrEx>
        <w:trPr>
          <w:trHeight w:val="285" w:hRule="atLeast"/>
          <w:jc w:val="center"/>
        </w:trPr>
        <w:tc>
          <w:tcPr>
            <w:tcW w:w="447" w:type="dxa"/>
            <w:tcBorders>
              <w:top w:val="single" w:color="000000" w:sz="4" w:space="0"/>
              <w:left w:val="single" w:color="000000" w:sz="4" w:space="0"/>
              <w:bottom w:val="single" w:color="000000" w:sz="4" w:space="0"/>
              <w:right w:val="single" w:color="000000" w:sz="4" w:space="0"/>
            </w:tcBorders>
            <w:vAlign w:val="top"/>
          </w:tcPr>
          <w:p>
            <w:pPr>
              <w:numPr>
                <w:ilvl w:val="0"/>
                <w:numId w:val="1"/>
              </w:numPr>
              <w:jc w:val="left"/>
              <w:rPr>
                <w:rFonts w:hint="eastAsia" w:ascii="宋体" w:hAnsi="宋体" w:eastAsia="宋体" w:cs="宋体"/>
                <w:color w:val="auto"/>
                <w:sz w:val="18"/>
                <w:szCs w:val="18"/>
                <w:highlight w:val="none"/>
              </w:rPr>
            </w:pP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eastAsia" w:ascii="宋体" w:hAnsi="宋体"/>
                <w:sz w:val="18"/>
                <w:szCs w:val="18"/>
                <w:lang w:val="en-US" w:eastAsia="zh-CN"/>
              </w:rPr>
              <w:t>通信用模块化交流不间断电源</w:t>
            </w:r>
          </w:p>
        </w:tc>
        <w:tc>
          <w:tcPr>
            <w:tcW w:w="150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eastAsia" w:ascii="宋体" w:hAnsi="宋体"/>
                <w:sz w:val="18"/>
                <w:szCs w:val="18"/>
                <w:lang w:val="en-US" w:eastAsia="zh-CN"/>
              </w:rPr>
              <w:t>Modular AC uninterruptible power systems for telecommunications</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eastAsia" w:ascii="宋体" w:hAnsi="宋体"/>
                <w:sz w:val="18"/>
                <w:szCs w:val="18"/>
                <w:lang w:val="en-US" w:eastAsia="zh-CN"/>
              </w:rPr>
              <w:t>英语</w:t>
            </w:r>
          </w:p>
        </w:tc>
        <w:tc>
          <w:tcPr>
            <w:tcW w:w="677"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eastAsia" w:ascii="宋体" w:hAnsi="宋体"/>
                <w:sz w:val="18"/>
                <w:szCs w:val="18"/>
                <w:lang w:val="en-US" w:eastAsia="zh-CN"/>
              </w:rPr>
              <w:t>翻译已有标准</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eastAsia" w:ascii="宋体" w:hAnsi="宋体"/>
                <w:sz w:val="18"/>
                <w:szCs w:val="18"/>
                <w:lang w:val="en-US" w:eastAsia="zh-CN"/>
              </w:rPr>
              <w:t>YD/T 2165</w:t>
            </w:r>
            <w:r>
              <w:rPr>
                <w:rFonts w:hint="eastAsia" w:ascii="宋体" w:hAnsi="宋体"/>
                <w:sz w:val="18"/>
                <w:szCs w:val="18"/>
                <w:lang w:val="en-US" w:eastAsia="zh-CN"/>
              </w:rPr>
              <w:br w:type="textWrapping"/>
            </w:r>
            <w:r>
              <w:rPr>
                <w:rFonts w:hint="eastAsia" w:ascii="宋体" w:hAnsi="宋体"/>
                <w:sz w:val="18"/>
                <w:szCs w:val="18"/>
                <w:lang w:val="en-US" w:eastAsia="zh-CN"/>
              </w:rPr>
              <w:t>-2017</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eastAsia" w:ascii="宋体" w:hAnsi="宋体"/>
                <w:sz w:val="18"/>
                <w:szCs w:val="18"/>
                <w:lang w:val="en-US" w:eastAsia="zh-CN"/>
              </w:rPr>
              <w:t>中国通信标准化协会</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eastAsia" w:ascii="宋体" w:hAnsi="宋体"/>
                <w:sz w:val="18"/>
                <w:szCs w:val="18"/>
                <w:lang w:val="en-US" w:eastAsia="zh-CN"/>
              </w:rPr>
              <w:t>中国信息通信研究院</w:t>
            </w:r>
          </w:p>
        </w:tc>
        <w:tc>
          <w:tcPr>
            <w:tcW w:w="6283"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eastAsia" w:ascii="宋体" w:hAnsi="宋体"/>
                <w:sz w:val="18"/>
                <w:szCs w:val="18"/>
                <w:lang w:val="en-US" w:eastAsia="zh-CN"/>
              </w:rPr>
              <w:t>通信产业处于国民经济发展的基础性、先导性地位,而可靠性是通信产业的重要要求之一,这其中电源系统负责向供电通信设备持续供电,肩负着有效保证通信网络畅通的重要责任。目前,为了提高电源系统的可靠性,保证电源系统发生故障后的持续供电,从而在通信局(站)中,广泛采用了在交流电源供电的通信设备中配备交流不间断电源(UPS)系统,经实践证明,通信用不间断电源具有良好的效果,并在保证可靠性方面具有不可比拟的重要地位。其中模块化UPS以其极具弹性的系统结构、功率模块的组合式设计及可随时移除、安装的优良运维性能、拓展性能,在UPS产品应用中的占比越米越大。</w:t>
            </w:r>
          </w:p>
          <w:p>
            <w:pPr>
              <w:jc w:val="left"/>
              <w:rPr>
                <w:rFonts w:hint="eastAsia" w:ascii="宋体" w:hAnsi="宋体"/>
                <w:sz w:val="18"/>
                <w:szCs w:val="18"/>
                <w:lang w:val="en-US" w:eastAsia="zh-CN"/>
              </w:rPr>
            </w:pPr>
            <w:r>
              <w:rPr>
                <w:rFonts w:hint="eastAsia" w:ascii="宋体" w:hAnsi="宋体"/>
                <w:sz w:val="18"/>
                <w:szCs w:val="18"/>
                <w:lang w:val="en-US" w:eastAsia="zh-CN"/>
              </w:rPr>
              <w:t>伴随着“一带一路”沿线国家在通信、交通运输等基础设施大规模建设的到来，不间断电源将有巨大的应用需求涌现,及时将我国成熟应用的模块化UPS通信行业标准翻译成英文势在必行,从而助力不间断电源产品同时满足国内外使用方的需求,降降低企业贸易成本,并有效促进相关企业与产品的国际化。</w:t>
            </w:r>
          </w:p>
          <w:p>
            <w:pPr>
              <w:jc w:val="left"/>
              <w:rPr>
                <w:rFonts w:hint="eastAsia" w:ascii="宋体" w:hAnsi="宋体"/>
                <w:sz w:val="18"/>
                <w:szCs w:val="18"/>
                <w:lang w:val="en-US" w:eastAsia="zh-CN"/>
              </w:rPr>
            </w:pPr>
            <w:r>
              <w:rPr>
                <w:rFonts w:hint="eastAsia" w:ascii="宋体" w:hAnsi="宋体"/>
                <w:sz w:val="18"/>
                <w:szCs w:val="18"/>
                <w:lang w:val="en-US" w:eastAsia="zh-CN"/>
              </w:rPr>
              <w:t xml:space="preserve">    项目组成员均通过英语六级考试，日常工作中经常阅读外文标准，多人发表过英文论文，均具有通信产品的技术基础和产品实践应用经验，均主笔编写过中文标准。</w:t>
            </w:r>
          </w:p>
        </w:tc>
      </w:tr>
      <w:tr>
        <w:tblPrEx>
          <w:tblLayout w:type="fixed"/>
          <w:tblCellMar>
            <w:top w:w="0" w:type="dxa"/>
            <w:left w:w="108" w:type="dxa"/>
            <w:bottom w:w="0" w:type="dxa"/>
            <w:right w:w="108" w:type="dxa"/>
          </w:tblCellMar>
        </w:tblPrEx>
        <w:trPr>
          <w:trHeight w:val="285" w:hRule="atLeast"/>
          <w:jc w:val="center"/>
        </w:trPr>
        <w:tc>
          <w:tcPr>
            <w:tcW w:w="447" w:type="dxa"/>
            <w:tcBorders>
              <w:top w:val="single" w:color="000000" w:sz="4" w:space="0"/>
              <w:left w:val="single" w:color="000000" w:sz="4" w:space="0"/>
              <w:bottom w:val="single" w:color="000000" w:sz="4" w:space="0"/>
              <w:right w:val="single" w:color="000000" w:sz="4" w:space="0"/>
            </w:tcBorders>
            <w:vAlign w:val="top"/>
          </w:tcPr>
          <w:p>
            <w:pPr>
              <w:numPr>
                <w:ilvl w:val="0"/>
                <w:numId w:val="1"/>
              </w:numPr>
              <w:jc w:val="left"/>
              <w:rPr>
                <w:rFonts w:hint="eastAsia" w:ascii="宋体" w:hAnsi="宋体" w:eastAsia="宋体" w:cs="宋体"/>
                <w:color w:val="auto"/>
                <w:sz w:val="18"/>
                <w:szCs w:val="18"/>
                <w:highlight w:val="none"/>
              </w:rPr>
            </w:pP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eastAsia" w:ascii="宋体" w:hAnsi="宋体"/>
                <w:sz w:val="18"/>
                <w:szCs w:val="18"/>
                <w:lang w:val="en-US" w:eastAsia="zh-CN"/>
              </w:rPr>
              <w:t>通信用10kV高压发电机组</w:t>
            </w:r>
          </w:p>
        </w:tc>
        <w:tc>
          <w:tcPr>
            <w:tcW w:w="150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eastAsia" w:ascii="宋体" w:hAnsi="宋体"/>
                <w:sz w:val="18"/>
                <w:szCs w:val="18"/>
                <w:lang w:val="en-US" w:eastAsia="zh-CN"/>
              </w:rPr>
              <w:t>10KV generator sets for Telecommunications</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eastAsia" w:ascii="宋体" w:hAnsi="宋体"/>
                <w:sz w:val="18"/>
                <w:szCs w:val="18"/>
                <w:lang w:val="en-US" w:eastAsia="zh-CN"/>
              </w:rPr>
              <w:t>英语</w:t>
            </w:r>
          </w:p>
        </w:tc>
        <w:tc>
          <w:tcPr>
            <w:tcW w:w="677"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eastAsia" w:ascii="宋体" w:hAnsi="宋体"/>
                <w:sz w:val="18"/>
                <w:szCs w:val="18"/>
                <w:lang w:val="en-US" w:eastAsia="zh-CN"/>
              </w:rPr>
              <w:t>翻译已有标准</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eastAsia" w:ascii="宋体" w:hAnsi="宋体"/>
                <w:sz w:val="18"/>
                <w:szCs w:val="18"/>
                <w:lang w:val="en-US" w:eastAsia="zh-CN"/>
              </w:rPr>
              <w:t>YD/T 2888</w:t>
            </w:r>
            <w:r>
              <w:rPr>
                <w:rFonts w:hint="eastAsia" w:ascii="宋体" w:hAnsi="宋体"/>
                <w:sz w:val="18"/>
                <w:szCs w:val="18"/>
                <w:lang w:val="en-US" w:eastAsia="zh-CN"/>
              </w:rPr>
              <w:br w:type="textWrapping"/>
            </w:r>
            <w:r>
              <w:rPr>
                <w:rFonts w:hint="eastAsia" w:ascii="宋体" w:hAnsi="宋体"/>
                <w:sz w:val="18"/>
                <w:szCs w:val="18"/>
                <w:lang w:val="en-US" w:eastAsia="zh-CN"/>
              </w:rPr>
              <w:t>-2015（2017）</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eastAsia" w:ascii="宋体" w:hAnsi="宋体"/>
                <w:sz w:val="18"/>
                <w:szCs w:val="18"/>
                <w:lang w:val="en-US" w:eastAsia="zh-CN"/>
              </w:rPr>
              <w:t>中国通信标准化协会</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eastAsia" w:ascii="宋体" w:hAnsi="宋体"/>
                <w:sz w:val="18"/>
                <w:szCs w:val="18"/>
                <w:lang w:val="en-US" w:eastAsia="zh-CN"/>
              </w:rPr>
              <w:t>中国信息通信研究院</w:t>
            </w:r>
          </w:p>
        </w:tc>
        <w:tc>
          <w:tcPr>
            <w:tcW w:w="6283"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eastAsia" w:ascii="宋体" w:hAnsi="宋体"/>
                <w:sz w:val="18"/>
                <w:szCs w:val="18"/>
                <w:lang w:val="en-US" w:eastAsia="zh-CN"/>
              </w:rPr>
              <w:t>通信用柴油发电机组是通信产业中重要的备用电源、移动电源和替代电源，在保证通信设备正常运行、保证通信畅通、提高通信质量的过程中发挥着重要作用，尤其对一些电网普及率较低的国家，依旧需要大量的柴油发电机组作为备用电源，从而弥补电网供电的不足。不仅如此，随着各国在通信、电力、交通运输、石油石化等领域对备用电源需求的不断升级换代，新增的基础设施建设也需要大量柴油发电机组保障供电。相比于低压柴油发电机组，高压柴油发电机组更有传输距离远、高压低电流延缓老化、抗谐波能力强、低电流灭弧容易（安全性好）、供电集中使用电缆少、电缆占空间小等优点，实际应用需求越来越大。</w:t>
            </w:r>
          </w:p>
          <w:p>
            <w:pPr>
              <w:jc w:val="left"/>
              <w:rPr>
                <w:rFonts w:hint="eastAsia" w:ascii="宋体" w:hAnsi="宋体"/>
                <w:sz w:val="18"/>
                <w:szCs w:val="18"/>
                <w:lang w:val="en-US" w:eastAsia="zh-CN"/>
              </w:rPr>
            </w:pPr>
            <w:r>
              <w:rPr>
                <w:rFonts w:hint="eastAsia" w:ascii="宋体" w:hAnsi="宋体"/>
                <w:sz w:val="18"/>
                <w:szCs w:val="18"/>
                <w:lang w:val="en-US" w:eastAsia="zh-CN"/>
              </w:rPr>
              <w:t>随着国家的改革开放的进程，以及“一带一路”及“走出去”的战略推进，海外交通、通信等基础设施建设需要大量保障性柴油发电机组，柴油发电机组出口数量正不断增加，本标准对促进通信行业发电机组技术进步和规范采购等有重要作用，因此急需将我国成熟的行业标准翻译成英文，助力国内柴油发电机组企业与产品“走出去”。</w:t>
            </w:r>
          </w:p>
          <w:p>
            <w:pPr>
              <w:jc w:val="left"/>
              <w:rPr>
                <w:rFonts w:hint="eastAsia" w:ascii="宋体" w:hAnsi="宋体"/>
                <w:sz w:val="18"/>
                <w:szCs w:val="18"/>
                <w:lang w:val="en-US" w:eastAsia="zh-CN"/>
              </w:rPr>
            </w:pPr>
            <w:r>
              <w:rPr>
                <w:rFonts w:hint="eastAsia" w:ascii="宋体" w:hAnsi="宋体"/>
                <w:sz w:val="18"/>
                <w:szCs w:val="18"/>
                <w:lang w:val="en-US" w:eastAsia="zh-CN"/>
              </w:rPr>
              <w:t>项目组成员均通过英语六级考试，日常工作中经常阅读外文标准，多人发表过英文论文，均具有通信产品的技术基础和产品实践应用经验，均主笔编写过中文标准。</w:t>
            </w:r>
          </w:p>
        </w:tc>
      </w:tr>
      <w:tr>
        <w:tblPrEx>
          <w:tblLayout w:type="fixed"/>
          <w:tblCellMar>
            <w:top w:w="0" w:type="dxa"/>
            <w:left w:w="108" w:type="dxa"/>
            <w:bottom w:w="0" w:type="dxa"/>
            <w:right w:w="108" w:type="dxa"/>
          </w:tblCellMar>
        </w:tblPrEx>
        <w:trPr>
          <w:trHeight w:val="285" w:hRule="atLeast"/>
          <w:jc w:val="center"/>
        </w:trPr>
        <w:tc>
          <w:tcPr>
            <w:tcW w:w="447" w:type="dxa"/>
            <w:tcBorders>
              <w:top w:val="single" w:color="000000" w:sz="4" w:space="0"/>
              <w:left w:val="single" w:color="000000" w:sz="4" w:space="0"/>
              <w:bottom w:val="single" w:color="000000" w:sz="4" w:space="0"/>
              <w:right w:val="single" w:color="000000" w:sz="4" w:space="0"/>
            </w:tcBorders>
            <w:vAlign w:val="top"/>
          </w:tcPr>
          <w:p>
            <w:pPr>
              <w:numPr>
                <w:ilvl w:val="0"/>
                <w:numId w:val="1"/>
              </w:numPr>
              <w:jc w:val="left"/>
              <w:rPr>
                <w:rFonts w:hint="eastAsia" w:ascii="宋体" w:hAnsi="宋体" w:eastAsia="宋体" w:cs="宋体"/>
                <w:color w:val="auto"/>
                <w:sz w:val="18"/>
                <w:szCs w:val="18"/>
                <w:highlight w:val="none"/>
              </w:rPr>
            </w:pP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eastAsia" w:ascii="宋体" w:hAnsi="宋体"/>
                <w:sz w:val="18"/>
                <w:szCs w:val="18"/>
                <w:lang w:val="en-US" w:eastAsia="zh-CN"/>
              </w:rPr>
              <w:t>通信用48V整流器</w:t>
            </w:r>
          </w:p>
        </w:tc>
        <w:tc>
          <w:tcPr>
            <w:tcW w:w="150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eastAsia" w:ascii="宋体" w:hAnsi="宋体"/>
                <w:sz w:val="18"/>
                <w:szCs w:val="18"/>
                <w:lang w:val="en-US" w:eastAsia="zh-CN"/>
              </w:rPr>
              <w:t>48V rectifier for telecommunications</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eastAsia" w:ascii="宋体" w:hAnsi="宋体"/>
                <w:sz w:val="18"/>
                <w:szCs w:val="18"/>
                <w:lang w:val="en-US" w:eastAsia="zh-CN"/>
              </w:rPr>
              <w:t>英文</w:t>
            </w:r>
          </w:p>
        </w:tc>
        <w:tc>
          <w:tcPr>
            <w:tcW w:w="677"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eastAsia" w:ascii="宋体" w:hAnsi="宋体"/>
                <w:sz w:val="18"/>
                <w:szCs w:val="18"/>
                <w:lang w:val="en-US" w:eastAsia="zh-CN"/>
              </w:rPr>
              <w:t>翻译已有标准</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eastAsia" w:ascii="宋体" w:hAnsi="宋体"/>
                <w:sz w:val="18"/>
                <w:szCs w:val="18"/>
                <w:lang w:val="en-US" w:eastAsia="zh-CN"/>
              </w:rPr>
              <w:t>YD/T 731</w:t>
            </w:r>
            <w:r>
              <w:rPr>
                <w:rFonts w:hint="eastAsia" w:ascii="宋体" w:hAnsi="宋体"/>
                <w:sz w:val="18"/>
                <w:szCs w:val="18"/>
                <w:lang w:val="en-US" w:eastAsia="zh-CN"/>
              </w:rPr>
              <w:br w:type="textWrapping"/>
            </w:r>
            <w:r>
              <w:rPr>
                <w:rFonts w:hint="eastAsia" w:ascii="宋体" w:hAnsi="宋体"/>
                <w:sz w:val="18"/>
                <w:szCs w:val="18"/>
                <w:lang w:val="en-US" w:eastAsia="zh-CN"/>
              </w:rPr>
              <w:t>-2018</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eastAsia" w:ascii="宋体" w:hAnsi="宋体"/>
                <w:sz w:val="18"/>
                <w:szCs w:val="18"/>
                <w:lang w:val="en-US" w:eastAsia="zh-CN"/>
              </w:rPr>
              <w:t>中国通信标准化协会</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eastAsia" w:ascii="宋体" w:hAnsi="宋体"/>
                <w:sz w:val="18"/>
                <w:szCs w:val="18"/>
                <w:lang w:val="en-US" w:eastAsia="zh-CN"/>
              </w:rPr>
              <w:t>中国信息通信研究院</w:t>
            </w:r>
          </w:p>
        </w:tc>
        <w:tc>
          <w:tcPr>
            <w:tcW w:w="6283"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eastAsia" w:ascii="宋体" w:hAnsi="宋体"/>
                <w:sz w:val="18"/>
                <w:szCs w:val="18"/>
                <w:lang w:val="en-US" w:eastAsia="zh-CN"/>
              </w:rPr>
              <w:t>通信产业处于国民经济发展的基础性、先导性地位，而可靠性是通信产业的重要要求之一，电源系统负责向通信设备持续供电，肩负着有效保证通信网络畅通的重要责任。目前，为了提高电源系统的可靠性，保证电源系统发生故障后的持续供电，在通信局(站)中，广泛采用高频开关电源系统+蓄电池的供电系统，经实践证明，高频开关电源具有良好的效果，在保证可靠性方面具有不可比拟的重要地位。高频开关电源系统及48V整流器以其极具弹性的系统结构、模块化的设计及可随时移除、安装、更换的优良运维性能、扩展性能，有效的保证了供电的可靠性及运行经济性。</w:t>
            </w:r>
          </w:p>
          <w:p>
            <w:pPr>
              <w:jc w:val="left"/>
              <w:rPr>
                <w:rFonts w:hint="eastAsia" w:ascii="宋体" w:hAnsi="宋体"/>
                <w:sz w:val="18"/>
                <w:szCs w:val="18"/>
                <w:lang w:val="en-US" w:eastAsia="zh-CN"/>
              </w:rPr>
            </w:pPr>
            <w:r>
              <w:rPr>
                <w:rFonts w:hint="eastAsia" w:ascii="宋体" w:hAnsi="宋体"/>
                <w:sz w:val="18"/>
                <w:szCs w:val="18"/>
                <w:lang w:val="en-US" w:eastAsia="zh-CN"/>
              </w:rPr>
              <w:t>通信用48V整流器为开关电源系统的电源模块，本标准为2018年发布，该标准为最近修订标准，</w:t>
            </w:r>
          </w:p>
          <w:p>
            <w:pPr>
              <w:jc w:val="left"/>
              <w:rPr>
                <w:rFonts w:hint="eastAsia" w:ascii="宋体" w:hAnsi="宋体"/>
                <w:sz w:val="18"/>
                <w:szCs w:val="18"/>
                <w:lang w:val="en-US" w:eastAsia="zh-CN"/>
              </w:rPr>
            </w:pPr>
            <w:r>
              <w:rPr>
                <w:rFonts w:hint="eastAsia" w:ascii="宋体" w:hAnsi="宋体"/>
                <w:sz w:val="18"/>
                <w:szCs w:val="18"/>
                <w:lang w:val="en-US" w:eastAsia="zh-CN"/>
              </w:rPr>
              <w:t>在大量应用经验的基础上，改标准反映了国内外现有行业技术水平及通信行业的电源需求。</w:t>
            </w:r>
          </w:p>
          <w:p>
            <w:pPr>
              <w:jc w:val="left"/>
              <w:rPr>
                <w:rFonts w:hint="eastAsia" w:ascii="宋体" w:hAnsi="宋体"/>
                <w:sz w:val="18"/>
                <w:szCs w:val="18"/>
                <w:lang w:val="en-US" w:eastAsia="zh-CN"/>
              </w:rPr>
            </w:pPr>
            <w:r>
              <w:rPr>
                <w:rFonts w:hint="eastAsia" w:ascii="宋体" w:hAnsi="宋体"/>
                <w:sz w:val="18"/>
                <w:szCs w:val="18"/>
                <w:lang w:val="en-US" w:eastAsia="zh-CN"/>
              </w:rPr>
              <w:t>伴随着“一带一路”沿线国家在通信、交通运输等基础设施大规模建设的到来，通信用高频开关电源系统及通信用48V整流器将有巨大的应用需求，及时将我国成熟应用的通信用48V整流器行业标准翻译成英文势在必行，从而助力通信用高频开关电源产品同时满足国内外使用方的需求，降低企业贸易成本，并有促进相关企业与产品的国际化。</w:t>
            </w:r>
          </w:p>
          <w:p>
            <w:pPr>
              <w:jc w:val="left"/>
              <w:rPr>
                <w:rFonts w:hint="eastAsia" w:ascii="宋体" w:hAnsi="宋体"/>
                <w:sz w:val="18"/>
                <w:szCs w:val="18"/>
                <w:lang w:val="en-US" w:eastAsia="zh-CN"/>
              </w:rPr>
            </w:pPr>
            <w:r>
              <w:rPr>
                <w:rFonts w:hint="eastAsia" w:ascii="宋体" w:hAnsi="宋体"/>
                <w:sz w:val="18"/>
                <w:szCs w:val="18"/>
                <w:lang w:val="en-US" w:eastAsia="zh-CN"/>
              </w:rPr>
              <w:t>起草组成员具备CEF-6水平，完成过IEC标准的翻译工作，部分成员为留学人员（具备TOEFL、GRE），熟悉标准中专业词汇及用语，具备翻译此标准的能力。</w:t>
            </w:r>
          </w:p>
        </w:tc>
      </w:tr>
      <w:tr>
        <w:tblPrEx>
          <w:tblLayout w:type="fixed"/>
          <w:tblCellMar>
            <w:top w:w="0" w:type="dxa"/>
            <w:left w:w="108" w:type="dxa"/>
            <w:bottom w:w="0" w:type="dxa"/>
            <w:right w:w="108" w:type="dxa"/>
          </w:tblCellMar>
        </w:tblPrEx>
        <w:trPr>
          <w:trHeight w:val="285" w:hRule="atLeast"/>
          <w:jc w:val="center"/>
        </w:trPr>
        <w:tc>
          <w:tcPr>
            <w:tcW w:w="447" w:type="dxa"/>
            <w:tcBorders>
              <w:top w:val="single" w:color="000000" w:sz="4" w:space="0"/>
              <w:left w:val="single" w:color="000000" w:sz="4" w:space="0"/>
              <w:bottom w:val="single" w:color="000000" w:sz="4" w:space="0"/>
              <w:right w:val="single" w:color="000000" w:sz="4" w:space="0"/>
            </w:tcBorders>
            <w:vAlign w:val="top"/>
          </w:tcPr>
          <w:p>
            <w:pPr>
              <w:numPr>
                <w:ilvl w:val="0"/>
                <w:numId w:val="1"/>
              </w:numPr>
              <w:jc w:val="left"/>
              <w:rPr>
                <w:rFonts w:hint="eastAsia" w:ascii="宋体" w:hAnsi="宋体" w:eastAsia="宋体" w:cs="宋体"/>
                <w:color w:val="auto"/>
                <w:sz w:val="18"/>
                <w:szCs w:val="18"/>
                <w:highlight w:val="none"/>
              </w:rPr>
            </w:pP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eastAsia" w:ascii="宋体" w:hAnsi="宋体"/>
                <w:sz w:val="18"/>
                <w:szCs w:val="18"/>
                <w:lang w:val="en-US" w:eastAsia="zh-CN"/>
              </w:rPr>
              <w:t>通信用阀控式密封铅酸蓄电池</w:t>
            </w:r>
          </w:p>
        </w:tc>
        <w:tc>
          <w:tcPr>
            <w:tcW w:w="150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eastAsia" w:ascii="宋体" w:hAnsi="宋体"/>
                <w:sz w:val="18"/>
                <w:szCs w:val="18"/>
                <w:lang w:val="en-US" w:eastAsia="zh-CN"/>
              </w:rPr>
              <w:t>Valve-regulated lead acid batteries for telecommunications</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eastAsia" w:ascii="宋体" w:hAnsi="宋体"/>
                <w:sz w:val="18"/>
                <w:szCs w:val="18"/>
                <w:lang w:val="en-US" w:eastAsia="zh-CN"/>
              </w:rPr>
              <w:t>英文</w:t>
            </w:r>
          </w:p>
        </w:tc>
        <w:tc>
          <w:tcPr>
            <w:tcW w:w="677"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eastAsia" w:ascii="宋体" w:hAnsi="宋体"/>
                <w:sz w:val="18"/>
                <w:szCs w:val="18"/>
                <w:lang w:val="en-US" w:eastAsia="zh-CN"/>
              </w:rPr>
              <w:t>翻译已有标准</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eastAsia" w:ascii="宋体" w:hAnsi="宋体"/>
                <w:sz w:val="18"/>
                <w:szCs w:val="18"/>
                <w:lang w:val="en-US" w:eastAsia="zh-CN"/>
              </w:rPr>
              <w:t>YD/T 799</w:t>
            </w:r>
            <w:r>
              <w:rPr>
                <w:rFonts w:hint="eastAsia" w:ascii="宋体" w:hAnsi="宋体"/>
                <w:sz w:val="18"/>
                <w:szCs w:val="18"/>
                <w:lang w:val="en-US" w:eastAsia="zh-CN"/>
              </w:rPr>
              <w:br w:type="textWrapping"/>
            </w:r>
            <w:r>
              <w:rPr>
                <w:rFonts w:hint="eastAsia" w:ascii="宋体" w:hAnsi="宋体"/>
                <w:sz w:val="18"/>
                <w:szCs w:val="18"/>
                <w:lang w:val="en-US" w:eastAsia="zh-CN"/>
              </w:rPr>
              <w:t>-2010（2016）</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eastAsia" w:ascii="宋体" w:hAnsi="宋体"/>
                <w:sz w:val="18"/>
                <w:szCs w:val="18"/>
                <w:lang w:val="en-US" w:eastAsia="zh-CN"/>
              </w:rPr>
              <w:t>中国通信标准化协会</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eastAsia" w:ascii="宋体" w:hAnsi="宋体"/>
                <w:sz w:val="18"/>
                <w:szCs w:val="18"/>
                <w:lang w:val="en-US" w:eastAsia="zh-CN"/>
              </w:rPr>
              <w:t>中国信息通信研究院</w:t>
            </w:r>
          </w:p>
        </w:tc>
        <w:tc>
          <w:tcPr>
            <w:tcW w:w="6283"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eastAsia" w:ascii="宋体" w:hAnsi="宋体"/>
                <w:sz w:val="18"/>
                <w:szCs w:val="18"/>
                <w:lang w:val="en-US" w:eastAsia="zh-CN"/>
              </w:rPr>
              <w:t>通信用阀控式密封铅酸蓄电池是通信产业中重要的备用电池，在保证通信设备正常运行、保证通信畅通、提高通信质量的过程中发挥着重要作用，尤其对一些电网普及率较低的国家，依旧需要大量的通信用阀控式密封铅酸蓄电池作为备用电池，从而弥补电网供电的不足。不仅如此，随着各国在通信、电力、交通运输、石油石化等领域对备用电源需求的不断开级换代，新增的基础设施建设也需要通信用阀控式密封铅酸蓄电池保障供电。</w:t>
            </w:r>
          </w:p>
          <w:p>
            <w:pPr>
              <w:jc w:val="left"/>
              <w:rPr>
                <w:rFonts w:hint="eastAsia" w:ascii="宋体" w:hAnsi="宋体"/>
                <w:sz w:val="18"/>
                <w:szCs w:val="18"/>
                <w:lang w:val="en-US" w:eastAsia="zh-CN"/>
              </w:rPr>
            </w:pPr>
            <w:r>
              <w:rPr>
                <w:rFonts w:hint="eastAsia" w:ascii="宋体" w:hAnsi="宋体"/>
                <w:sz w:val="18"/>
                <w:szCs w:val="18"/>
                <w:lang w:val="en-US" w:eastAsia="zh-CN"/>
              </w:rPr>
              <w:t>随着“一带一路”及“走出去”的战略推进，各国正在建设通信基础设施，为通信用阀控式密封铅酸蓄电池产品带来了前所未有的发展机遇和充满潜力的蓝海市场。现阶段,通信用阀控式密封铅酸蓄电池产品生产技术在我国已经非常成熟,很多产厂家均可以生产出满足国内外要求的产品。目前已经有大量的产品出口到国外，众企业也具备服务国际市场的能力。因此，通信用磷酸铁锂电池组产品的“走出去”已是大势所趋。</w:t>
            </w:r>
          </w:p>
          <w:p>
            <w:pPr>
              <w:jc w:val="left"/>
              <w:rPr>
                <w:rFonts w:hint="eastAsia" w:ascii="宋体" w:hAnsi="宋体"/>
                <w:sz w:val="18"/>
                <w:szCs w:val="18"/>
                <w:lang w:val="en-US" w:eastAsia="zh-CN"/>
              </w:rPr>
            </w:pPr>
            <w:r>
              <w:rPr>
                <w:rFonts w:hint="eastAsia" w:ascii="宋体" w:hAnsi="宋体"/>
                <w:sz w:val="18"/>
                <w:szCs w:val="18"/>
                <w:lang w:val="en-US" w:eastAsia="zh-CN"/>
              </w:rPr>
              <w:t>对通信用磷酸铁锂电池组产品的行业技术性标准进行外文翻译，为后续通信产品的推广和应用奠定基础，也有助于推动“中国标准”“走出去”，争取更大的国际话语权</w:t>
            </w:r>
          </w:p>
          <w:p>
            <w:pPr>
              <w:jc w:val="left"/>
              <w:rPr>
                <w:rFonts w:hint="eastAsia" w:ascii="宋体" w:hAnsi="宋体"/>
                <w:sz w:val="18"/>
                <w:szCs w:val="18"/>
                <w:lang w:val="en-US" w:eastAsia="zh-CN"/>
              </w:rPr>
            </w:pPr>
            <w:r>
              <w:rPr>
                <w:rFonts w:hint="eastAsia" w:ascii="宋体" w:hAnsi="宋体"/>
                <w:sz w:val="18"/>
                <w:szCs w:val="18"/>
                <w:lang w:val="en-US" w:eastAsia="zh-CN"/>
              </w:rPr>
              <w:t>起草组成员具备CEF-6水平，完成过IEC标准的翻译工作，部分成员为留学人员（具备TOEFL、GRE），熟悉标准中专业词汇及用语，具备翻译此标准的能力。</w:t>
            </w:r>
          </w:p>
        </w:tc>
      </w:tr>
      <w:tr>
        <w:tblPrEx>
          <w:tblLayout w:type="fixed"/>
          <w:tblCellMar>
            <w:top w:w="0" w:type="dxa"/>
            <w:left w:w="108" w:type="dxa"/>
            <w:bottom w:w="0" w:type="dxa"/>
            <w:right w:w="108" w:type="dxa"/>
          </w:tblCellMar>
        </w:tblPrEx>
        <w:trPr>
          <w:trHeight w:val="285" w:hRule="atLeast"/>
          <w:jc w:val="center"/>
        </w:trPr>
        <w:tc>
          <w:tcPr>
            <w:tcW w:w="447" w:type="dxa"/>
            <w:tcBorders>
              <w:top w:val="single" w:color="000000" w:sz="4" w:space="0"/>
              <w:left w:val="single" w:color="000000" w:sz="4" w:space="0"/>
              <w:bottom w:val="single" w:color="000000" w:sz="4" w:space="0"/>
              <w:right w:val="single" w:color="000000" w:sz="4" w:space="0"/>
            </w:tcBorders>
            <w:vAlign w:val="top"/>
          </w:tcPr>
          <w:p>
            <w:pPr>
              <w:numPr>
                <w:ilvl w:val="0"/>
                <w:numId w:val="1"/>
              </w:numPr>
              <w:jc w:val="left"/>
              <w:rPr>
                <w:rFonts w:hint="eastAsia" w:ascii="宋体" w:hAnsi="宋体" w:eastAsia="宋体" w:cs="宋体"/>
                <w:color w:val="auto"/>
                <w:sz w:val="18"/>
                <w:szCs w:val="18"/>
                <w:highlight w:val="none"/>
              </w:rPr>
            </w:pPr>
          </w:p>
        </w:tc>
        <w:tc>
          <w:tcPr>
            <w:tcW w:w="119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eastAsia" w:ascii="宋体" w:hAnsi="宋体"/>
                <w:sz w:val="18"/>
                <w:szCs w:val="18"/>
                <w:lang w:val="en-US" w:eastAsia="zh-CN"/>
              </w:rPr>
              <w:t>通信局（站）电源系统总技术要求</w:t>
            </w:r>
          </w:p>
        </w:tc>
        <w:tc>
          <w:tcPr>
            <w:tcW w:w="1504"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eastAsia" w:ascii="宋体" w:hAnsi="宋体"/>
                <w:sz w:val="18"/>
                <w:szCs w:val="18"/>
                <w:lang w:val="en-US" w:eastAsia="zh-CN"/>
              </w:rPr>
              <w:t>General Requirements of power supply system for telecommunication stations/sites</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eastAsia" w:ascii="宋体" w:hAnsi="宋体"/>
                <w:sz w:val="18"/>
                <w:szCs w:val="18"/>
                <w:lang w:val="en-US" w:eastAsia="zh-CN"/>
              </w:rPr>
              <w:t>英语</w:t>
            </w:r>
          </w:p>
        </w:tc>
        <w:tc>
          <w:tcPr>
            <w:tcW w:w="677"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eastAsia" w:ascii="宋体" w:hAnsi="宋体"/>
                <w:sz w:val="18"/>
                <w:szCs w:val="18"/>
                <w:lang w:val="en-US" w:eastAsia="zh-CN"/>
              </w:rPr>
              <w:t>翻译已有标准</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eastAsia" w:ascii="宋体" w:hAnsi="宋体"/>
                <w:sz w:val="18"/>
                <w:szCs w:val="18"/>
                <w:lang w:val="en-US" w:eastAsia="zh-CN"/>
              </w:rPr>
              <w:t>YD/T 1051</w:t>
            </w:r>
            <w:r>
              <w:rPr>
                <w:rFonts w:hint="eastAsia" w:ascii="宋体" w:hAnsi="宋体"/>
                <w:sz w:val="18"/>
                <w:szCs w:val="18"/>
                <w:lang w:val="en-US" w:eastAsia="zh-CN"/>
              </w:rPr>
              <w:br w:type="textWrapping"/>
            </w:r>
            <w:r>
              <w:rPr>
                <w:rFonts w:hint="eastAsia" w:ascii="宋体" w:hAnsi="宋体"/>
                <w:sz w:val="18"/>
                <w:szCs w:val="18"/>
                <w:lang w:val="en-US" w:eastAsia="zh-CN"/>
              </w:rPr>
              <w:t>-2018</w:t>
            </w:r>
          </w:p>
        </w:tc>
        <w:tc>
          <w:tcPr>
            <w:tcW w:w="1511"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eastAsia" w:ascii="宋体" w:hAnsi="宋体"/>
                <w:sz w:val="18"/>
                <w:szCs w:val="18"/>
                <w:lang w:val="en-US" w:eastAsia="zh-CN"/>
              </w:rPr>
              <w:t>中国通信标准化协会</w:t>
            </w:r>
          </w:p>
        </w:tc>
        <w:tc>
          <w:tcPr>
            <w:tcW w:w="1420"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eastAsia" w:ascii="宋体" w:hAnsi="宋体"/>
                <w:sz w:val="18"/>
                <w:szCs w:val="18"/>
                <w:lang w:val="en-US" w:eastAsia="zh-CN"/>
              </w:rPr>
              <w:t>中通服咨询设计研究院有限公司</w:t>
            </w:r>
          </w:p>
        </w:tc>
        <w:tc>
          <w:tcPr>
            <w:tcW w:w="6283" w:type="dxa"/>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sz w:val="18"/>
                <w:szCs w:val="18"/>
                <w:lang w:val="en-US" w:eastAsia="zh-CN"/>
              </w:rPr>
            </w:pPr>
            <w:r>
              <w:rPr>
                <w:rFonts w:hint="eastAsia" w:ascii="宋体" w:hAnsi="宋体"/>
                <w:sz w:val="18"/>
                <w:szCs w:val="18"/>
                <w:lang w:val="en-US" w:eastAsia="zh-CN"/>
              </w:rPr>
              <w:t>本次申报的行业标准外文版为《通信局（站）电源系统总技术要求》，行业是通信行业电源领域，涉及通信局站的电源系统，包含电源系统的结构形式、交流供电系统、直流供电系统、防雷接地、主要电源设备技术性能要求和电源系统监控等要求。</w:t>
            </w:r>
          </w:p>
          <w:p>
            <w:pPr>
              <w:jc w:val="left"/>
              <w:rPr>
                <w:rFonts w:hint="eastAsia" w:ascii="宋体" w:hAnsi="宋体"/>
                <w:sz w:val="18"/>
                <w:szCs w:val="18"/>
                <w:lang w:val="en-US" w:eastAsia="zh-CN"/>
              </w:rPr>
            </w:pPr>
            <w:r>
              <w:rPr>
                <w:rFonts w:hint="eastAsia" w:ascii="宋体" w:hAnsi="宋体"/>
                <w:sz w:val="18"/>
                <w:szCs w:val="18"/>
                <w:lang w:val="en-US" w:eastAsia="zh-CN"/>
              </w:rPr>
              <w:t>随着“一带一路”政策和市场的推动，“一带一路”沿线60多个国家约涉及全球将近一半的人口，通信基础设施的建设非常重要。东南亚、南亚、中东、东北非地区的大多数国家的信息基础设施发展水平仍低于世界平均水平，这些国家和地区对信息基础设施的提升有着较大需求，未来发展潜力巨大。</w:t>
            </w:r>
          </w:p>
          <w:p>
            <w:pPr>
              <w:jc w:val="left"/>
              <w:rPr>
                <w:rFonts w:hint="eastAsia" w:ascii="宋体" w:hAnsi="宋体"/>
                <w:sz w:val="18"/>
                <w:szCs w:val="18"/>
                <w:lang w:val="en-US" w:eastAsia="zh-CN"/>
              </w:rPr>
            </w:pPr>
            <w:r>
              <w:rPr>
                <w:rFonts w:hint="eastAsia" w:ascii="宋体" w:hAnsi="宋体"/>
                <w:sz w:val="18"/>
                <w:szCs w:val="18"/>
                <w:lang w:val="en-US" w:eastAsia="zh-CN"/>
              </w:rPr>
              <w:t>对于发展水平参差不齐的国家，更需要一个统一的电源系统标准对局（站）建设进行规范。如何满足通信设备不断增长的供电容量和供电质量，提高电源系统的稳定性，需要制定通信局（站）电源系统总技术要求，指导国外通信局（站）的电源系统建设。目前，尚未发现国外有对于各级局站电源系统总体技术的标准。制定此标准，既能响应国家《工业和信息化部关于工业通信业标准化工作服务于“一带一路”建设的实施意见》，又能推动我国通信工程电源设计、施工、验收、监理、设施及产品在海外的应用。</w:t>
            </w:r>
          </w:p>
          <w:p>
            <w:pPr>
              <w:jc w:val="left"/>
              <w:rPr>
                <w:rFonts w:hint="eastAsia" w:ascii="宋体" w:hAnsi="宋体"/>
                <w:sz w:val="18"/>
                <w:szCs w:val="18"/>
                <w:lang w:val="en-US" w:eastAsia="zh-CN"/>
              </w:rPr>
            </w:pPr>
            <w:r>
              <w:rPr>
                <w:rFonts w:hint="eastAsia" w:ascii="宋体" w:hAnsi="宋体"/>
                <w:sz w:val="18"/>
                <w:szCs w:val="18"/>
                <w:lang w:val="en-US" w:eastAsia="zh-CN"/>
              </w:rPr>
              <w:t>起小组中陈柯羽、叶春、代修文、乔晗等成员均已通过大学英语6级，部分成员为英语专业，也有在海外学习生活的经历，有能力制定外文标准。</w:t>
            </w:r>
          </w:p>
        </w:tc>
      </w:tr>
    </w:tbl>
    <w:p>
      <w:pPr>
        <w:rPr>
          <w:rFonts w:hint="eastAsia"/>
          <w:lang w:eastAsia="zh-CN"/>
        </w:rPr>
      </w:pPr>
    </w:p>
    <w:p>
      <w:pPr>
        <w:rPr>
          <w:rFonts w:hint="eastAsia"/>
          <w:lang w:eastAsia="zh-CN"/>
        </w:rPr>
      </w:pPr>
    </w:p>
    <w:p>
      <w:pPr>
        <w:ind w:firstLine="420" w:firstLineChars="0"/>
        <w:rPr>
          <w:rFonts w:hint="eastAsia" w:eastAsia="宋体"/>
          <w:lang w:eastAsia="zh-CN"/>
        </w:rPr>
      </w:pPr>
    </w:p>
    <w:sectPr>
      <w:footerReference r:id="rId3" w:type="default"/>
      <w:pgSz w:w="16838" w:h="11906" w:orient="landscape"/>
      <w:pgMar w:top="1800" w:right="1440" w:bottom="1800" w:left="144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Verdana">
    <w:panose1 w:val="020B0604030504040204"/>
    <w:charset w:val="00"/>
    <w:family w:val="swiss"/>
    <w:pitch w:val="default"/>
    <w:sig w:usb0="A10006FF" w:usb1="4000205B" w:usb2="00000010" w:usb3="00000000" w:csb0="2000019F"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quot;Microsoft YaHei">
    <w:altName w:val="宋体"/>
    <w:panose1 w:val="00000000000000000000"/>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31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HP4ZNkPAgAABwQAAA4AAAAAAAAAAQAgAAAA&#10;HwEAAGRycy9lMm9Eb2MueG1sUEsFBgAAAAAGAAYAWQEAAKAFAAAAAA==&#10;">
              <v:fill on="f" focussize="0,0"/>
              <v:stroke on="f" weight="0.5pt"/>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31</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01035AD"/>
    <w:multiLevelType w:val="singleLevel"/>
    <w:tmpl w:val="501035AD"/>
    <w:lvl w:ilvl="0" w:tentative="0">
      <w:start w:val="1"/>
      <w:numFmt w:val="decimal"/>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2E6F"/>
    <w:rsid w:val="00033071"/>
    <w:rsid w:val="000411E0"/>
    <w:rsid w:val="00077A24"/>
    <w:rsid w:val="0008236D"/>
    <w:rsid w:val="00084B1B"/>
    <w:rsid w:val="0008689D"/>
    <w:rsid w:val="00095F68"/>
    <w:rsid w:val="000A59EF"/>
    <w:rsid w:val="000B6606"/>
    <w:rsid w:val="000C54C8"/>
    <w:rsid w:val="000E47D1"/>
    <w:rsid w:val="00126B6A"/>
    <w:rsid w:val="00136E7F"/>
    <w:rsid w:val="00175634"/>
    <w:rsid w:val="001A187F"/>
    <w:rsid w:val="001A4F80"/>
    <w:rsid w:val="001B140D"/>
    <w:rsid w:val="001B1B7C"/>
    <w:rsid w:val="001B535A"/>
    <w:rsid w:val="001C01F1"/>
    <w:rsid w:val="001D130C"/>
    <w:rsid w:val="001D52A7"/>
    <w:rsid w:val="001E6C51"/>
    <w:rsid w:val="001E6E57"/>
    <w:rsid w:val="001F1E19"/>
    <w:rsid w:val="001F66AD"/>
    <w:rsid w:val="00211DB0"/>
    <w:rsid w:val="00213760"/>
    <w:rsid w:val="00215EF0"/>
    <w:rsid w:val="002176D9"/>
    <w:rsid w:val="00235CE1"/>
    <w:rsid w:val="00240EB0"/>
    <w:rsid w:val="00264C55"/>
    <w:rsid w:val="002773A8"/>
    <w:rsid w:val="0028792B"/>
    <w:rsid w:val="002A5217"/>
    <w:rsid w:val="002A5F87"/>
    <w:rsid w:val="002C09D6"/>
    <w:rsid w:val="002C1326"/>
    <w:rsid w:val="002C31DB"/>
    <w:rsid w:val="002C7B03"/>
    <w:rsid w:val="002D69D4"/>
    <w:rsid w:val="00304621"/>
    <w:rsid w:val="00335F47"/>
    <w:rsid w:val="0033630F"/>
    <w:rsid w:val="0033743F"/>
    <w:rsid w:val="003513FB"/>
    <w:rsid w:val="00360789"/>
    <w:rsid w:val="00366BBB"/>
    <w:rsid w:val="003A0386"/>
    <w:rsid w:val="003D0CA1"/>
    <w:rsid w:val="00432D4E"/>
    <w:rsid w:val="00436610"/>
    <w:rsid w:val="004770B0"/>
    <w:rsid w:val="004A5D50"/>
    <w:rsid w:val="004A68E1"/>
    <w:rsid w:val="004A6A09"/>
    <w:rsid w:val="004B4A67"/>
    <w:rsid w:val="004C24C7"/>
    <w:rsid w:val="00501076"/>
    <w:rsid w:val="00510CB4"/>
    <w:rsid w:val="00513107"/>
    <w:rsid w:val="005154B1"/>
    <w:rsid w:val="00517CE1"/>
    <w:rsid w:val="005200F5"/>
    <w:rsid w:val="00544C73"/>
    <w:rsid w:val="00551068"/>
    <w:rsid w:val="00567404"/>
    <w:rsid w:val="00570E79"/>
    <w:rsid w:val="00590DAF"/>
    <w:rsid w:val="005C140A"/>
    <w:rsid w:val="005C5335"/>
    <w:rsid w:val="006007A6"/>
    <w:rsid w:val="00602DDB"/>
    <w:rsid w:val="00627306"/>
    <w:rsid w:val="00650835"/>
    <w:rsid w:val="00661B43"/>
    <w:rsid w:val="00672D48"/>
    <w:rsid w:val="0067381E"/>
    <w:rsid w:val="006866B8"/>
    <w:rsid w:val="006952F8"/>
    <w:rsid w:val="006A58CD"/>
    <w:rsid w:val="006A7E74"/>
    <w:rsid w:val="006C7785"/>
    <w:rsid w:val="006E4AE4"/>
    <w:rsid w:val="0070002B"/>
    <w:rsid w:val="007020CA"/>
    <w:rsid w:val="00705FF2"/>
    <w:rsid w:val="00713941"/>
    <w:rsid w:val="00730BF9"/>
    <w:rsid w:val="007558AB"/>
    <w:rsid w:val="007601C6"/>
    <w:rsid w:val="00797B9A"/>
    <w:rsid w:val="007A6387"/>
    <w:rsid w:val="007B3DF2"/>
    <w:rsid w:val="007C65B3"/>
    <w:rsid w:val="007D07B2"/>
    <w:rsid w:val="007E6D3E"/>
    <w:rsid w:val="00833E3B"/>
    <w:rsid w:val="00847BA9"/>
    <w:rsid w:val="0085041E"/>
    <w:rsid w:val="00853B99"/>
    <w:rsid w:val="008644B0"/>
    <w:rsid w:val="008939BC"/>
    <w:rsid w:val="008E558F"/>
    <w:rsid w:val="00901F8F"/>
    <w:rsid w:val="00906661"/>
    <w:rsid w:val="00922DD5"/>
    <w:rsid w:val="00934CB9"/>
    <w:rsid w:val="00941CAE"/>
    <w:rsid w:val="0095563B"/>
    <w:rsid w:val="009734A1"/>
    <w:rsid w:val="00990389"/>
    <w:rsid w:val="0099156E"/>
    <w:rsid w:val="0099258C"/>
    <w:rsid w:val="00995700"/>
    <w:rsid w:val="009A2E0C"/>
    <w:rsid w:val="009E309C"/>
    <w:rsid w:val="009F1693"/>
    <w:rsid w:val="009F1ECE"/>
    <w:rsid w:val="00A03330"/>
    <w:rsid w:val="00A0603F"/>
    <w:rsid w:val="00A73C1A"/>
    <w:rsid w:val="00A74133"/>
    <w:rsid w:val="00A84D58"/>
    <w:rsid w:val="00A97864"/>
    <w:rsid w:val="00AA0D16"/>
    <w:rsid w:val="00AC32C3"/>
    <w:rsid w:val="00AF1EA5"/>
    <w:rsid w:val="00AF58C7"/>
    <w:rsid w:val="00B0058D"/>
    <w:rsid w:val="00B10076"/>
    <w:rsid w:val="00B1172C"/>
    <w:rsid w:val="00B2020C"/>
    <w:rsid w:val="00B255BB"/>
    <w:rsid w:val="00B34C2B"/>
    <w:rsid w:val="00B41B63"/>
    <w:rsid w:val="00B521C0"/>
    <w:rsid w:val="00B66B6A"/>
    <w:rsid w:val="00B81553"/>
    <w:rsid w:val="00B92951"/>
    <w:rsid w:val="00BB6829"/>
    <w:rsid w:val="00BC07A3"/>
    <w:rsid w:val="00BD54E5"/>
    <w:rsid w:val="00BD587D"/>
    <w:rsid w:val="00BE57D5"/>
    <w:rsid w:val="00BE6CB7"/>
    <w:rsid w:val="00C05759"/>
    <w:rsid w:val="00C15D1F"/>
    <w:rsid w:val="00C215BE"/>
    <w:rsid w:val="00C3521E"/>
    <w:rsid w:val="00CB0679"/>
    <w:rsid w:val="00CD2019"/>
    <w:rsid w:val="00CE03FD"/>
    <w:rsid w:val="00CE2292"/>
    <w:rsid w:val="00CF336B"/>
    <w:rsid w:val="00CF7F7C"/>
    <w:rsid w:val="00D02762"/>
    <w:rsid w:val="00D05D1D"/>
    <w:rsid w:val="00D06C08"/>
    <w:rsid w:val="00D2186F"/>
    <w:rsid w:val="00D517FE"/>
    <w:rsid w:val="00D64BA4"/>
    <w:rsid w:val="00D67F3F"/>
    <w:rsid w:val="00D865B5"/>
    <w:rsid w:val="00D90262"/>
    <w:rsid w:val="00DA5174"/>
    <w:rsid w:val="00DC2B47"/>
    <w:rsid w:val="00DC5DD9"/>
    <w:rsid w:val="00DD0344"/>
    <w:rsid w:val="00DE2470"/>
    <w:rsid w:val="00DF1DD6"/>
    <w:rsid w:val="00DF28D0"/>
    <w:rsid w:val="00E11C16"/>
    <w:rsid w:val="00E16788"/>
    <w:rsid w:val="00E30607"/>
    <w:rsid w:val="00E338C3"/>
    <w:rsid w:val="00E401EA"/>
    <w:rsid w:val="00E51486"/>
    <w:rsid w:val="00E62EF7"/>
    <w:rsid w:val="00E66B78"/>
    <w:rsid w:val="00E824A7"/>
    <w:rsid w:val="00E92E6F"/>
    <w:rsid w:val="00EA077B"/>
    <w:rsid w:val="00EB4D6A"/>
    <w:rsid w:val="00EB7AA8"/>
    <w:rsid w:val="00EB7F39"/>
    <w:rsid w:val="00ED5795"/>
    <w:rsid w:val="00EF05CF"/>
    <w:rsid w:val="00EF4F26"/>
    <w:rsid w:val="00EF576D"/>
    <w:rsid w:val="00F041CF"/>
    <w:rsid w:val="00F044BC"/>
    <w:rsid w:val="00F22F63"/>
    <w:rsid w:val="00F525B1"/>
    <w:rsid w:val="00F67703"/>
    <w:rsid w:val="00F7356E"/>
    <w:rsid w:val="00F76693"/>
    <w:rsid w:val="00F76EED"/>
    <w:rsid w:val="00F8305B"/>
    <w:rsid w:val="00F86B2C"/>
    <w:rsid w:val="00F97978"/>
    <w:rsid w:val="00FD4C09"/>
    <w:rsid w:val="00FE6D0D"/>
    <w:rsid w:val="00FF4403"/>
    <w:rsid w:val="013B3573"/>
    <w:rsid w:val="02457297"/>
    <w:rsid w:val="024A000B"/>
    <w:rsid w:val="026C6ABE"/>
    <w:rsid w:val="03045FEF"/>
    <w:rsid w:val="041377D2"/>
    <w:rsid w:val="04443838"/>
    <w:rsid w:val="04A96187"/>
    <w:rsid w:val="04B71A91"/>
    <w:rsid w:val="04F22CBE"/>
    <w:rsid w:val="05172FA3"/>
    <w:rsid w:val="0525663E"/>
    <w:rsid w:val="0540655C"/>
    <w:rsid w:val="05F46357"/>
    <w:rsid w:val="05FE6637"/>
    <w:rsid w:val="06337495"/>
    <w:rsid w:val="066F35B5"/>
    <w:rsid w:val="07262B62"/>
    <w:rsid w:val="07894095"/>
    <w:rsid w:val="07B0773F"/>
    <w:rsid w:val="089E1590"/>
    <w:rsid w:val="098C3D1D"/>
    <w:rsid w:val="0A64458D"/>
    <w:rsid w:val="0A8C306E"/>
    <w:rsid w:val="0ACA283E"/>
    <w:rsid w:val="0AF025A6"/>
    <w:rsid w:val="0BAF505D"/>
    <w:rsid w:val="0BFC2244"/>
    <w:rsid w:val="0C125590"/>
    <w:rsid w:val="0CBF426D"/>
    <w:rsid w:val="0CEA7678"/>
    <w:rsid w:val="0D9F0855"/>
    <w:rsid w:val="0E0829C0"/>
    <w:rsid w:val="0E122066"/>
    <w:rsid w:val="0E3B24BB"/>
    <w:rsid w:val="0E477340"/>
    <w:rsid w:val="0E4D5D08"/>
    <w:rsid w:val="0E735FC9"/>
    <w:rsid w:val="0EC35CA3"/>
    <w:rsid w:val="0F227FD0"/>
    <w:rsid w:val="0F752998"/>
    <w:rsid w:val="0F76499A"/>
    <w:rsid w:val="0F8A7703"/>
    <w:rsid w:val="10214C4C"/>
    <w:rsid w:val="106D4B25"/>
    <w:rsid w:val="107D5873"/>
    <w:rsid w:val="10E61116"/>
    <w:rsid w:val="1101530E"/>
    <w:rsid w:val="11355FB2"/>
    <w:rsid w:val="11471AF5"/>
    <w:rsid w:val="117B297F"/>
    <w:rsid w:val="12353897"/>
    <w:rsid w:val="12506DDD"/>
    <w:rsid w:val="12A972F8"/>
    <w:rsid w:val="12C062F8"/>
    <w:rsid w:val="131868A2"/>
    <w:rsid w:val="133C73AF"/>
    <w:rsid w:val="141B3E43"/>
    <w:rsid w:val="143C68C9"/>
    <w:rsid w:val="146E73C2"/>
    <w:rsid w:val="14F60617"/>
    <w:rsid w:val="156D63A3"/>
    <w:rsid w:val="16082587"/>
    <w:rsid w:val="16645615"/>
    <w:rsid w:val="168B7384"/>
    <w:rsid w:val="16E36A6A"/>
    <w:rsid w:val="174A5355"/>
    <w:rsid w:val="175258EA"/>
    <w:rsid w:val="17EC1F6D"/>
    <w:rsid w:val="17FE1B5A"/>
    <w:rsid w:val="18FD3EE9"/>
    <w:rsid w:val="1927032C"/>
    <w:rsid w:val="192C3410"/>
    <w:rsid w:val="195F657A"/>
    <w:rsid w:val="1986413D"/>
    <w:rsid w:val="1A181F57"/>
    <w:rsid w:val="1A845964"/>
    <w:rsid w:val="1AD70938"/>
    <w:rsid w:val="1B1B2D13"/>
    <w:rsid w:val="1B6905B3"/>
    <w:rsid w:val="1B93162A"/>
    <w:rsid w:val="1BDD0F28"/>
    <w:rsid w:val="1BE54C85"/>
    <w:rsid w:val="1C440A93"/>
    <w:rsid w:val="1C5C5500"/>
    <w:rsid w:val="1C5F1595"/>
    <w:rsid w:val="1D1D469C"/>
    <w:rsid w:val="1D99253B"/>
    <w:rsid w:val="1E6A0EEA"/>
    <w:rsid w:val="1EB35D22"/>
    <w:rsid w:val="1F2944CB"/>
    <w:rsid w:val="1F6B4408"/>
    <w:rsid w:val="20571528"/>
    <w:rsid w:val="207D03F1"/>
    <w:rsid w:val="20D96C13"/>
    <w:rsid w:val="20E9492F"/>
    <w:rsid w:val="215E203D"/>
    <w:rsid w:val="21F24D6B"/>
    <w:rsid w:val="225B2406"/>
    <w:rsid w:val="2291669D"/>
    <w:rsid w:val="23655888"/>
    <w:rsid w:val="237D08B9"/>
    <w:rsid w:val="23EF7D69"/>
    <w:rsid w:val="24277DFD"/>
    <w:rsid w:val="24340DEB"/>
    <w:rsid w:val="2453218E"/>
    <w:rsid w:val="24A63FD9"/>
    <w:rsid w:val="24A73C8A"/>
    <w:rsid w:val="24C72A9F"/>
    <w:rsid w:val="24F974BD"/>
    <w:rsid w:val="251B7984"/>
    <w:rsid w:val="25437862"/>
    <w:rsid w:val="254B2D53"/>
    <w:rsid w:val="259D25B3"/>
    <w:rsid w:val="25E3535F"/>
    <w:rsid w:val="26400508"/>
    <w:rsid w:val="264777E9"/>
    <w:rsid w:val="268D47F2"/>
    <w:rsid w:val="275C53BD"/>
    <w:rsid w:val="2789097A"/>
    <w:rsid w:val="27D5348A"/>
    <w:rsid w:val="28356CE7"/>
    <w:rsid w:val="283A4B8C"/>
    <w:rsid w:val="286D135A"/>
    <w:rsid w:val="28EE0D8D"/>
    <w:rsid w:val="28F1640A"/>
    <w:rsid w:val="28F94790"/>
    <w:rsid w:val="29510C43"/>
    <w:rsid w:val="296224C8"/>
    <w:rsid w:val="299557D3"/>
    <w:rsid w:val="29C23817"/>
    <w:rsid w:val="2A2D1FB7"/>
    <w:rsid w:val="2A421F70"/>
    <w:rsid w:val="2A8F11E2"/>
    <w:rsid w:val="2ADA48B9"/>
    <w:rsid w:val="2B693A6A"/>
    <w:rsid w:val="2B741E25"/>
    <w:rsid w:val="2C0A3B92"/>
    <w:rsid w:val="2C113FAE"/>
    <w:rsid w:val="2C143242"/>
    <w:rsid w:val="2C9D4994"/>
    <w:rsid w:val="2CA24D04"/>
    <w:rsid w:val="2D764055"/>
    <w:rsid w:val="2DB41503"/>
    <w:rsid w:val="2DEA4E6B"/>
    <w:rsid w:val="2E4425C8"/>
    <w:rsid w:val="2E513D20"/>
    <w:rsid w:val="2E936326"/>
    <w:rsid w:val="2F004253"/>
    <w:rsid w:val="2F4042D8"/>
    <w:rsid w:val="2F8F170E"/>
    <w:rsid w:val="2FD5034E"/>
    <w:rsid w:val="30091ED3"/>
    <w:rsid w:val="30861210"/>
    <w:rsid w:val="30CF6D0E"/>
    <w:rsid w:val="30F322CC"/>
    <w:rsid w:val="31670366"/>
    <w:rsid w:val="317C2271"/>
    <w:rsid w:val="31C8025F"/>
    <w:rsid w:val="324861BA"/>
    <w:rsid w:val="333D216B"/>
    <w:rsid w:val="33533BE2"/>
    <w:rsid w:val="33AB27D7"/>
    <w:rsid w:val="34FB18BC"/>
    <w:rsid w:val="351F5D54"/>
    <w:rsid w:val="35276A3B"/>
    <w:rsid w:val="35852017"/>
    <w:rsid w:val="35A5114B"/>
    <w:rsid w:val="36287A15"/>
    <w:rsid w:val="36466FC3"/>
    <w:rsid w:val="3669724C"/>
    <w:rsid w:val="369D0E41"/>
    <w:rsid w:val="369D16A8"/>
    <w:rsid w:val="36E6402E"/>
    <w:rsid w:val="36E921E9"/>
    <w:rsid w:val="36F41F2F"/>
    <w:rsid w:val="36F735B6"/>
    <w:rsid w:val="37E10756"/>
    <w:rsid w:val="380312D6"/>
    <w:rsid w:val="392F0E3A"/>
    <w:rsid w:val="39810CF9"/>
    <w:rsid w:val="39C17A22"/>
    <w:rsid w:val="3A8D2191"/>
    <w:rsid w:val="3B977813"/>
    <w:rsid w:val="3BD615CB"/>
    <w:rsid w:val="3BE14E9B"/>
    <w:rsid w:val="3C5A79BE"/>
    <w:rsid w:val="3C6433A2"/>
    <w:rsid w:val="3C6B6094"/>
    <w:rsid w:val="3CB67EA9"/>
    <w:rsid w:val="3CC306E0"/>
    <w:rsid w:val="3D1F3C06"/>
    <w:rsid w:val="3D833F81"/>
    <w:rsid w:val="3DA025D2"/>
    <w:rsid w:val="3DFA4CB7"/>
    <w:rsid w:val="3E3E6F4A"/>
    <w:rsid w:val="3E424E88"/>
    <w:rsid w:val="3EDE715F"/>
    <w:rsid w:val="3F916C24"/>
    <w:rsid w:val="3FE165E3"/>
    <w:rsid w:val="40054EC3"/>
    <w:rsid w:val="40AE4385"/>
    <w:rsid w:val="40C34E74"/>
    <w:rsid w:val="40D36063"/>
    <w:rsid w:val="410D7F1E"/>
    <w:rsid w:val="411104BA"/>
    <w:rsid w:val="41B524A9"/>
    <w:rsid w:val="426B7877"/>
    <w:rsid w:val="42DC6FBA"/>
    <w:rsid w:val="431F0CD6"/>
    <w:rsid w:val="43A61B22"/>
    <w:rsid w:val="44483FBF"/>
    <w:rsid w:val="44503F8B"/>
    <w:rsid w:val="448127E1"/>
    <w:rsid w:val="448D7B45"/>
    <w:rsid w:val="449441E0"/>
    <w:rsid w:val="44E1472E"/>
    <w:rsid w:val="45510296"/>
    <w:rsid w:val="455F1513"/>
    <w:rsid w:val="45B22D78"/>
    <w:rsid w:val="45C86B9C"/>
    <w:rsid w:val="45E463D4"/>
    <w:rsid w:val="46184234"/>
    <w:rsid w:val="46D22816"/>
    <w:rsid w:val="46EA0372"/>
    <w:rsid w:val="46FA175A"/>
    <w:rsid w:val="472E7618"/>
    <w:rsid w:val="47342EBD"/>
    <w:rsid w:val="47935AED"/>
    <w:rsid w:val="47A53DDA"/>
    <w:rsid w:val="47D2735D"/>
    <w:rsid w:val="485E3805"/>
    <w:rsid w:val="485E5F9F"/>
    <w:rsid w:val="48D801AF"/>
    <w:rsid w:val="48E5112C"/>
    <w:rsid w:val="499057D8"/>
    <w:rsid w:val="49F66CDE"/>
    <w:rsid w:val="4A434BD6"/>
    <w:rsid w:val="4A677737"/>
    <w:rsid w:val="4B5E459C"/>
    <w:rsid w:val="4B865B5F"/>
    <w:rsid w:val="4C1D4291"/>
    <w:rsid w:val="4C4E122E"/>
    <w:rsid w:val="4C764793"/>
    <w:rsid w:val="4CAA03CD"/>
    <w:rsid w:val="4CB23BE6"/>
    <w:rsid w:val="4D3B07F6"/>
    <w:rsid w:val="4D496C46"/>
    <w:rsid w:val="4D7B3310"/>
    <w:rsid w:val="4DCA21A1"/>
    <w:rsid w:val="4E282929"/>
    <w:rsid w:val="4E583DA5"/>
    <w:rsid w:val="4E7D2E9A"/>
    <w:rsid w:val="4E9800E4"/>
    <w:rsid w:val="4EC819BF"/>
    <w:rsid w:val="4F282B4A"/>
    <w:rsid w:val="4F683007"/>
    <w:rsid w:val="4FC05917"/>
    <w:rsid w:val="4FCC1F9A"/>
    <w:rsid w:val="50234FEB"/>
    <w:rsid w:val="50704F7B"/>
    <w:rsid w:val="50A44745"/>
    <w:rsid w:val="50C5724C"/>
    <w:rsid w:val="5144434B"/>
    <w:rsid w:val="51C05850"/>
    <w:rsid w:val="51E209BF"/>
    <w:rsid w:val="52412038"/>
    <w:rsid w:val="524E6E83"/>
    <w:rsid w:val="5250134F"/>
    <w:rsid w:val="52735020"/>
    <w:rsid w:val="529357FE"/>
    <w:rsid w:val="5304192B"/>
    <w:rsid w:val="54241D0C"/>
    <w:rsid w:val="54644B38"/>
    <w:rsid w:val="54EC0C7A"/>
    <w:rsid w:val="55624938"/>
    <w:rsid w:val="556B44D1"/>
    <w:rsid w:val="5639431D"/>
    <w:rsid w:val="578E708D"/>
    <w:rsid w:val="57F416B4"/>
    <w:rsid w:val="586D3A24"/>
    <w:rsid w:val="589C061F"/>
    <w:rsid w:val="59230DA2"/>
    <w:rsid w:val="59233389"/>
    <w:rsid w:val="594C7F73"/>
    <w:rsid w:val="59A2633D"/>
    <w:rsid w:val="59E27C6A"/>
    <w:rsid w:val="59FB6E16"/>
    <w:rsid w:val="5AEF6C15"/>
    <w:rsid w:val="5AFB3401"/>
    <w:rsid w:val="5B0344B9"/>
    <w:rsid w:val="5B7D24CA"/>
    <w:rsid w:val="5BC53072"/>
    <w:rsid w:val="5BF50915"/>
    <w:rsid w:val="5C0F7E83"/>
    <w:rsid w:val="5C775F0C"/>
    <w:rsid w:val="5CDE148E"/>
    <w:rsid w:val="5CED01C4"/>
    <w:rsid w:val="5DAC7451"/>
    <w:rsid w:val="5DC038CA"/>
    <w:rsid w:val="5E6B687C"/>
    <w:rsid w:val="5E6E1B83"/>
    <w:rsid w:val="5E865F7B"/>
    <w:rsid w:val="5F1D1F65"/>
    <w:rsid w:val="5FA02CCC"/>
    <w:rsid w:val="5FC937AE"/>
    <w:rsid w:val="5FD26EF5"/>
    <w:rsid w:val="5FE77090"/>
    <w:rsid w:val="60466173"/>
    <w:rsid w:val="60D12F22"/>
    <w:rsid w:val="610D51F3"/>
    <w:rsid w:val="61274414"/>
    <w:rsid w:val="614E5046"/>
    <w:rsid w:val="61BA7DEB"/>
    <w:rsid w:val="62097264"/>
    <w:rsid w:val="621C2CBC"/>
    <w:rsid w:val="628C2A3A"/>
    <w:rsid w:val="629A4596"/>
    <w:rsid w:val="63365117"/>
    <w:rsid w:val="636C2E67"/>
    <w:rsid w:val="6401618E"/>
    <w:rsid w:val="641614AA"/>
    <w:rsid w:val="644A3E24"/>
    <w:rsid w:val="647C4D5E"/>
    <w:rsid w:val="64CA269A"/>
    <w:rsid w:val="64EF19F4"/>
    <w:rsid w:val="64FF6C4F"/>
    <w:rsid w:val="65544A0E"/>
    <w:rsid w:val="66000882"/>
    <w:rsid w:val="66503158"/>
    <w:rsid w:val="6664256B"/>
    <w:rsid w:val="666E0F43"/>
    <w:rsid w:val="66D229E0"/>
    <w:rsid w:val="66D820E1"/>
    <w:rsid w:val="67466ADF"/>
    <w:rsid w:val="67735B33"/>
    <w:rsid w:val="67A90BD1"/>
    <w:rsid w:val="67B02AA3"/>
    <w:rsid w:val="67F70B8B"/>
    <w:rsid w:val="680D41FD"/>
    <w:rsid w:val="682F6926"/>
    <w:rsid w:val="68831B76"/>
    <w:rsid w:val="6894749C"/>
    <w:rsid w:val="69861D94"/>
    <w:rsid w:val="6A454A1D"/>
    <w:rsid w:val="6A7A124B"/>
    <w:rsid w:val="6A7C1EFE"/>
    <w:rsid w:val="6B0014B7"/>
    <w:rsid w:val="6B1343FE"/>
    <w:rsid w:val="6B166B17"/>
    <w:rsid w:val="6B5930CB"/>
    <w:rsid w:val="6B8658CD"/>
    <w:rsid w:val="6BA6264B"/>
    <w:rsid w:val="6BC508D5"/>
    <w:rsid w:val="6C497F92"/>
    <w:rsid w:val="6C8E7612"/>
    <w:rsid w:val="6D36396A"/>
    <w:rsid w:val="6D8D2A05"/>
    <w:rsid w:val="6E5151FF"/>
    <w:rsid w:val="6E877BFC"/>
    <w:rsid w:val="6E9C68FC"/>
    <w:rsid w:val="6ED8032D"/>
    <w:rsid w:val="6FAE3DAD"/>
    <w:rsid w:val="6FB55595"/>
    <w:rsid w:val="6FC513FE"/>
    <w:rsid w:val="6FFE0C49"/>
    <w:rsid w:val="70413C56"/>
    <w:rsid w:val="706945BB"/>
    <w:rsid w:val="7125541D"/>
    <w:rsid w:val="71281B2F"/>
    <w:rsid w:val="71A85CE4"/>
    <w:rsid w:val="71BA4477"/>
    <w:rsid w:val="71E12002"/>
    <w:rsid w:val="73B45BC5"/>
    <w:rsid w:val="73CD3B63"/>
    <w:rsid w:val="74107E5F"/>
    <w:rsid w:val="7430029C"/>
    <w:rsid w:val="74382932"/>
    <w:rsid w:val="749E612F"/>
    <w:rsid w:val="74BA1821"/>
    <w:rsid w:val="761B2B23"/>
    <w:rsid w:val="7696630A"/>
    <w:rsid w:val="76A32C3B"/>
    <w:rsid w:val="77AC55D4"/>
    <w:rsid w:val="7855180A"/>
    <w:rsid w:val="787F23C4"/>
    <w:rsid w:val="78FA74BE"/>
    <w:rsid w:val="7916686C"/>
    <w:rsid w:val="79604C6F"/>
    <w:rsid w:val="79DE39E7"/>
    <w:rsid w:val="79E24D09"/>
    <w:rsid w:val="79EA6E80"/>
    <w:rsid w:val="7A3A50E2"/>
    <w:rsid w:val="7A6543BC"/>
    <w:rsid w:val="7A68102A"/>
    <w:rsid w:val="7B99714F"/>
    <w:rsid w:val="7C0D2DAD"/>
    <w:rsid w:val="7C6272C5"/>
    <w:rsid w:val="7C701782"/>
    <w:rsid w:val="7D1A5214"/>
    <w:rsid w:val="7D535788"/>
    <w:rsid w:val="7D563C05"/>
    <w:rsid w:val="7E10006F"/>
    <w:rsid w:val="7E526B4C"/>
    <w:rsid w:val="7EFC30CC"/>
    <w:rsid w:val="7FD31D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keepNext/>
      <w:keepLines/>
      <w:spacing w:before="340" w:after="330" w:line="576" w:lineRule="auto"/>
      <w:jc w:val="center"/>
      <w:outlineLvl w:val="0"/>
    </w:pPr>
    <w:rPr>
      <w:rFonts w:eastAsia="黑体"/>
      <w:kern w:val="44"/>
      <w:sz w:val="28"/>
    </w:rPr>
  </w:style>
  <w:style w:type="character" w:default="1" w:styleId="8">
    <w:name w:val="Default Paragraph Font"/>
    <w:unhideWhenUsed/>
    <w:uiPriority w:val="1"/>
  </w:style>
  <w:style w:type="table" w:default="1" w:styleId="11">
    <w:name w:val="Normal Table"/>
    <w:unhideWhenUsed/>
    <w:qFormat/>
    <w:uiPriority w:val="99"/>
    <w:tblPr>
      <w:tblLayout w:type="fixed"/>
      <w:tblCellMar>
        <w:top w:w="0" w:type="dxa"/>
        <w:left w:w="108" w:type="dxa"/>
        <w:bottom w:w="0" w:type="dxa"/>
        <w:right w:w="108" w:type="dxa"/>
      </w:tblCellMar>
    </w:tblPr>
  </w:style>
  <w:style w:type="paragraph" w:styleId="3">
    <w:name w:val="Balloon Text"/>
    <w:basedOn w:val="1"/>
    <w:link w:val="20"/>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toc 1"/>
    <w:basedOn w:val="1"/>
    <w:next w:val="1"/>
    <w:qFormat/>
    <w:uiPriority w:val="0"/>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9">
    <w:name w:val="FollowedHyperlink"/>
    <w:basedOn w:val="8"/>
    <w:qFormat/>
    <w:uiPriority w:val="0"/>
    <w:rPr>
      <w:color w:val="800080"/>
      <w:u w:val="single"/>
    </w:rPr>
  </w:style>
  <w:style w:type="character" w:styleId="10">
    <w:name w:val="Hyperlink"/>
    <w:basedOn w:val="8"/>
    <w:qFormat/>
    <w:uiPriority w:val="0"/>
    <w:rPr>
      <w:color w:val="0000FF"/>
      <w:u w:val="single"/>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3">
    <w:name w:val="font21"/>
    <w:basedOn w:val="8"/>
    <w:qFormat/>
    <w:uiPriority w:val="0"/>
    <w:rPr>
      <w:rFonts w:hint="eastAsia" w:ascii="宋体" w:hAnsi="宋体" w:eastAsia="宋体" w:cs="宋体"/>
      <w:color w:val="000000"/>
      <w:sz w:val="24"/>
      <w:szCs w:val="24"/>
      <w:u w:val="none"/>
    </w:rPr>
  </w:style>
  <w:style w:type="character" w:customStyle="1" w:styleId="14">
    <w:name w:val="font01"/>
    <w:basedOn w:val="8"/>
    <w:qFormat/>
    <w:uiPriority w:val="0"/>
    <w:rPr>
      <w:rFonts w:hint="default" w:ascii="Arial" w:hAnsi="Arial" w:cs="Arial"/>
      <w:color w:val="000000"/>
      <w:sz w:val="24"/>
      <w:szCs w:val="24"/>
      <w:u w:val="none"/>
    </w:rPr>
  </w:style>
  <w:style w:type="character" w:customStyle="1" w:styleId="15">
    <w:name w:val="t"/>
    <w:basedOn w:val="8"/>
    <w:qFormat/>
    <w:uiPriority w:val="0"/>
  </w:style>
  <w:style w:type="paragraph" w:customStyle="1" w:styleId="16">
    <w:name w:val="Table Paragraph"/>
    <w:basedOn w:val="1"/>
    <w:qFormat/>
    <w:uiPriority w:val="1"/>
  </w:style>
  <w:style w:type="paragraph" w:customStyle="1" w:styleId="17">
    <w:name w:val="No Spacing"/>
    <w:qFormat/>
    <w:uiPriority w:val="1"/>
    <w:pPr>
      <w:widowControl w:val="0"/>
      <w:jc w:val="both"/>
    </w:pPr>
    <w:rPr>
      <w:rFonts w:ascii="Calibri" w:hAnsi="Calibri" w:eastAsiaTheme="minorEastAsia" w:cstheme="minorBidi"/>
      <w:kern w:val="2"/>
      <w:sz w:val="21"/>
      <w:szCs w:val="22"/>
      <w:lang w:val="en-US" w:eastAsia="zh-CN" w:bidi="ar-SA"/>
    </w:rPr>
  </w:style>
  <w:style w:type="paragraph" w:customStyle="1" w:styleId="18">
    <w:name w:val="缩进正文1"/>
    <w:basedOn w:val="1"/>
    <w:qFormat/>
    <w:uiPriority w:val="0"/>
    <w:pPr>
      <w:ind w:left="874" w:hanging="420"/>
    </w:pPr>
    <w:rPr>
      <w:rFonts w:ascii="宋体"/>
      <w:szCs w:val="21"/>
    </w:rPr>
  </w:style>
  <w:style w:type="paragraph" w:customStyle="1" w:styleId="19">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20">
    <w:name w:val="批注框文本 Char"/>
    <w:basedOn w:val="8"/>
    <w:link w:val="3"/>
    <w:qFormat/>
    <w:uiPriority w:val="0"/>
    <w:rPr>
      <w:rFonts w:ascii="Calibri" w:hAnsi="Calibri" w:eastAsia="宋体" w:cs="Times New Roman"/>
      <w:kern w:val="2"/>
      <w:sz w:val="18"/>
      <w:szCs w:val="18"/>
    </w:rPr>
  </w:style>
  <w:style w:type="character" w:customStyle="1" w:styleId="21">
    <w:name w:val="font41"/>
    <w:qFormat/>
    <w:uiPriority w:val="0"/>
    <w:rPr>
      <w:rFonts w:hint="eastAsia" w:ascii="宋体" w:hAnsi="宋体" w:eastAsia="宋体" w:cs="宋体"/>
      <w:color w:val="000000"/>
      <w:sz w:val="20"/>
      <w:szCs w:val="20"/>
      <w:u w:val="none"/>
    </w:rPr>
  </w:style>
  <w:style w:type="character" w:customStyle="1" w:styleId="22">
    <w:name w:val="font51"/>
    <w:qFormat/>
    <w:uiPriority w:val="0"/>
    <w:rPr>
      <w:rFonts w:hint="default" w:ascii="Times New Roman" w:hAnsi="Times New Roman" w:cs="Times New Roman"/>
      <w:color w:val="000000"/>
      <w:sz w:val="20"/>
      <w:szCs w:val="20"/>
      <w:u w:val="none"/>
    </w:rPr>
  </w:style>
  <w:style w:type="paragraph" w:customStyle="1" w:styleId="23">
    <w:name w:val="_Style 3"/>
    <w:basedOn w:val="1"/>
    <w:qFormat/>
    <w:uiPriority w:val="99"/>
    <w:pPr>
      <w:ind w:firstLine="420" w:firstLineChars="200"/>
    </w:pPr>
  </w:style>
  <w:style w:type="character" w:customStyle="1" w:styleId="24">
    <w:name w:val="font11"/>
    <w:basedOn w:val="8"/>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34</Pages>
  <Words>4720</Words>
  <Characters>26905</Characters>
  <Lines>224</Lines>
  <Paragraphs>63</Paragraphs>
  <TotalTime>2</TotalTime>
  <ScaleCrop>false</ScaleCrop>
  <LinksUpToDate>false</LinksUpToDate>
  <CharactersWithSpaces>31562</CharactersWithSpaces>
  <Application>WPS Office_10.8.0.6470_F1E327BC-269C-435d-A152-05C5408002CA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hunjun</dc:creator>
  <cp:lastModifiedBy>E550-Win32</cp:lastModifiedBy>
  <dcterms:modified xsi:type="dcterms:W3CDTF">2019-10-15T02:28:59Z</dcterms:modified>
  <cp:revision>294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2052-10.8.0.6470</vt:lpwstr>
  </property>
</Properties>
</file>